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38" w:rsidRPr="008434E3" w:rsidRDefault="00373938" w:rsidP="00373938">
      <w:pPr>
        <w:jc w:val="right"/>
        <w:rPr>
          <w:rFonts w:cs="Arial"/>
          <w:b/>
          <w:i/>
        </w:rPr>
      </w:pPr>
      <w:r w:rsidRPr="008434E3">
        <w:rPr>
          <w:rFonts w:cs="Arial"/>
          <w:b/>
          <w:i/>
        </w:rPr>
        <w:t xml:space="preserve">Załącznik nr </w:t>
      </w:r>
      <w:r>
        <w:rPr>
          <w:rFonts w:cs="Arial"/>
          <w:b/>
          <w:i/>
        </w:rPr>
        <w:t>1</w:t>
      </w:r>
      <w:r w:rsidRPr="008434E3">
        <w:rPr>
          <w:rFonts w:cs="Arial"/>
          <w:b/>
          <w:i/>
        </w:rPr>
        <w:t xml:space="preserve"> do </w:t>
      </w:r>
      <w:r>
        <w:rPr>
          <w:rFonts w:cs="Arial"/>
          <w:b/>
          <w:i/>
        </w:rPr>
        <w:t xml:space="preserve">Ogłoszenia </w:t>
      </w:r>
    </w:p>
    <w:p w:rsidR="00373938" w:rsidRPr="00493134" w:rsidRDefault="00373938" w:rsidP="00373938">
      <w:pPr>
        <w:autoSpaceDE w:val="0"/>
        <w:autoSpaceDN w:val="0"/>
        <w:adjustRightInd w:val="0"/>
        <w:jc w:val="center"/>
        <w:rPr>
          <w:rFonts w:cs="Calibri"/>
          <w:b/>
          <w:bCs/>
          <w:sz w:val="28"/>
          <w:szCs w:val="28"/>
        </w:rPr>
      </w:pPr>
      <w:r w:rsidRPr="00493134">
        <w:rPr>
          <w:rFonts w:cs="Calibri"/>
          <w:b/>
          <w:bCs/>
          <w:sz w:val="28"/>
          <w:szCs w:val="28"/>
        </w:rPr>
        <w:t>OFERTA</w:t>
      </w:r>
    </w:p>
    <w:p w:rsidR="00373938" w:rsidRPr="008434E3" w:rsidRDefault="00373938" w:rsidP="00373938">
      <w:pPr>
        <w:pStyle w:val="Zwykytekst1"/>
        <w:tabs>
          <w:tab w:val="left" w:leader="dot" w:pos="9360"/>
        </w:tabs>
        <w:jc w:val="both"/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</w:pPr>
    </w:p>
    <w:p w:rsidR="00373938" w:rsidRPr="008434E3" w:rsidRDefault="00373938" w:rsidP="00373938">
      <w:pPr>
        <w:pStyle w:val="Zwykytekst1"/>
        <w:tabs>
          <w:tab w:val="left" w:leader="dot" w:pos="9360"/>
        </w:tabs>
        <w:jc w:val="both"/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</w:pPr>
    </w:p>
    <w:p w:rsidR="00373938" w:rsidRPr="008434E3" w:rsidRDefault="00373938" w:rsidP="00373938">
      <w:pPr>
        <w:spacing w:after="0"/>
        <w:ind w:right="6462"/>
        <w:jc w:val="both"/>
        <w:rPr>
          <w:rFonts w:cs="Arial"/>
          <w:b/>
          <w:u w:val="single"/>
        </w:rPr>
      </w:pPr>
      <w:r w:rsidRPr="008434E3">
        <w:rPr>
          <w:rFonts w:cs="Arial"/>
          <w:b/>
          <w:u w:val="single"/>
        </w:rPr>
        <w:t xml:space="preserve">NAZWA WYKONAWCY </w:t>
      </w:r>
    </w:p>
    <w:p w:rsidR="00373938" w:rsidRPr="008434E3" w:rsidRDefault="00373938" w:rsidP="00373938">
      <w:pPr>
        <w:spacing w:after="0"/>
        <w:ind w:right="6462"/>
        <w:jc w:val="both"/>
        <w:rPr>
          <w:rFonts w:cs="Arial"/>
        </w:rPr>
      </w:pPr>
      <w:r w:rsidRPr="008434E3">
        <w:rPr>
          <w:rFonts w:cs="Arial"/>
        </w:rPr>
        <w:t>.....................................</w:t>
      </w:r>
      <w:r>
        <w:rPr>
          <w:rFonts w:cs="Arial"/>
        </w:rPr>
        <w:t>................……</w:t>
      </w:r>
      <w:r>
        <w:rPr>
          <w:rFonts w:cs="Arial"/>
        </w:rPr>
        <w:t>……………………………….</w:t>
      </w:r>
    </w:p>
    <w:p w:rsidR="00373938" w:rsidRPr="008434E3" w:rsidRDefault="00373938" w:rsidP="00373938">
      <w:pPr>
        <w:spacing w:after="0"/>
        <w:ind w:right="6462"/>
        <w:jc w:val="both"/>
        <w:rPr>
          <w:rFonts w:cs="Arial"/>
        </w:rPr>
      </w:pPr>
      <w:r w:rsidRPr="008434E3">
        <w:rPr>
          <w:rFonts w:cs="Arial"/>
        </w:rPr>
        <w:t>Adres</w:t>
      </w:r>
      <w:r>
        <w:rPr>
          <w:rFonts w:cs="Arial"/>
        </w:rPr>
        <w:t xml:space="preserve"> </w:t>
      </w:r>
      <w:r w:rsidRPr="008434E3">
        <w:rPr>
          <w:rFonts w:cs="Arial"/>
        </w:rPr>
        <w:t>...........................</w:t>
      </w:r>
      <w:r>
        <w:rPr>
          <w:rFonts w:cs="Arial"/>
        </w:rPr>
        <w:t>................…</w:t>
      </w:r>
    </w:p>
    <w:p w:rsidR="00373938" w:rsidRPr="008434E3" w:rsidRDefault="00373938" w:rsidP="00373938">
      <w:pPr>
        <w:spacing w:after="0"/>
        <w:ind w:right="6462"/>
        <w:jc w:val="both"/>
        <w:rPr>
          <w:rFonts w:cs="Arial"/>
        </w:rPr>
      </w:pPr>
      <w:r w:rsidRPr="008434E3">
        <w:rPr>
          <w:rFonts w:cs="Arial"/>
        </w:rPr>
        <w:t>Regon</w:t>
      </w:r>
      <w:r>
        <w:rPr>
          <w:rFonts w:cs="Arial"/>
        </w:rPr>
        <w:t xml:space="preserve"> </w:t>
      </w:r>
      <w:r w:rsidRPr="008434E3">
        <w:rPr>
          <w:rFonts w:cs="Arial"/>
        </w:rPr>
        <w:t>.....</w:t>
      </w:r>
      <w:r>
        <w:rPr>
          <w:rFonts w:cs="Arial"/>
        </w:rPr>
        <w:t>.........................................</w:t>
      </w:r>
    </w:p>
    <w:p w:rsidR="00373938" w:rsidRPr="008434E3" w:rsidRDefault="00373938" w:rsidP="00373938">
      <w:pPr>
        <w:spacing w:after="0"/>
        <w:ind w:right="6462"/>
        <w:jc w:val="both"/>
        <w:rPr>
          <w:rFonts w:cs="Arial"/>
        </w:rPr>
      </w:pPr>
      <w:r w:rsidRPr="008434E3">
        <w:rPr>
          <w:rFonts w:cs="Arial"/>
        </w:rPr>
        <w:t>NIP .....................................</w:t>
      </w:r>
      <w:r>
        <w:rPr>
          <w:rFonts w:cs="Arial"/>
        </w:rPr>
        <w:t>.........</w:t>
      </w:r>
    </w:p>
    <w:p w:rsidR="00373938" w:rsidRPr="008434E3" w:rsidRDefault="00373938" w:rsidP="00373938">
      <w:pPr>
        <w:spacing w:after="0"/>
        <w:ind w:right="6462"/>
        <w:jc w:val="both"/>
        <w:rPr>
          <w:rFonts w:cs="Arial"/>
        </w:rPr>
      </w:pPr>
      <w:r w:rsidRPr="008434E3">
        <w:rPr>
          <w:rFonts w:cs="Arial"/>
        </w:rPr>
        <w:t>Telefon</w:t>
      </w:r>
      <w:r>
        <w:rPr>
          <w:rFonts w:cs="Arial"/>
        </w:rPr>
        <w:t xml:space="preserve"> </w:t>
      </w:r>
      <w:r w:rsidRPr="008434E3">
        <w:rPr>
          <w:rFonts w:cs="Arial"/>
        </w:rPr>
        <w:t>...........</w:t>
      </w:r>
      <w:r>
        <w:rPr>
          <w:rFonts w:cs="Arial"/>
        </w:rPr>
        <w:t>..............</w:t>
      </w:r>
      <w:r w:rsidRPr="008434E3">
        <w:rPr>
          <w:rFonts w:cs="Arial"/>
        </w:rPr>
        <w:t>..............</w:t>
      </w:r>
      <w:r>
        <w:rPr>
          <w:rFonts w:cs="Arial"/>
        </w:rPr>
        <w:t>.......</w:t>
      </w:r>
    </w:p>
    <w:p w:rsidR="00373938" w:rsidRPr="008434E3" w:rsidRDefault="00373938" w:rsidP="00373938">
      <w:pPr>
        <w:spacing w:after="0"/>
        <w:ind w:right="6462"/>
        <w:jc w:val="both"/>
        <w:rPr>
          <w:rFonts w:cs="Arial"/>
        </w:rPr>
      </w:pPr>
      <w:proofErr w:type="spellStart"/>
      <w:r w:rsidRPr="008434E3">
        <w:rPr>
          <w:rFonts w:cs="Arial"/>
        </w:rPr>
        <w:t>Fax</w:t>
      </w:r>
      <w:proofErr w:type="spellEnd"/>
      <w:r w:rsidRPr="008434E3">
        <w:rPr>
          <w:rFonts w:cs="Arial"/>
        </w:rPr>
        <w:t>..............................</w:t>
      </w:r>
      <w:r>
        <w:rPr>
          <w:rFonts w:cs="Arial"/>
        </w:rPr>
        <w:t>...........</w:t>
      </w:r>
    </w:p>
    <w:p w:rsidR="00373938" w:rsidRPr="008434E3" w:rsidRDefault="00373938" w:rsidP="00373938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</w:pPr>
    </w:p>
    <w:p w:rsidR="00373938" w:rsidRPr="008434E3" w:rsidRDefault="00373938" w:rsidP="00373938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="Calibri"/>
          <w:b/>
          <w:bCs/>
          <w:sz w:val="22"/>
          <w:szCs w:val="22"/>
          <w:u w:val="single"/>
          <w:lang w:eastAsia="en-US"/>
        </w:rPr>
      </w:pPr>
      <w:r w:rsidRPr="008434E3">
        <w:rPr>
          <w:rFonts w:asciiTheme="minorHAnsi" w:eastAsia="Calibri" w:hAnsiTheme="minorHAnsi" w:cs="Calibri"/>
          <w:b/>
          <w:bCs/>
          <w:sz w:val="22"/>
          <w:szCs w:val="22"/>
          <w:u w:val="single"/>
          <w:lang w:eastAsia="en-US"/>
        </w:rPr>
        <w:t>ZAMAWIAJĄCY:</w:t>
      </w:r>
    </w:p>
    <w:p w:rsidR="00373938" w:rsidRPr="008434E3" w:rsidRDefault="00373938" w:rsidP="00373938">
      <w:pPr>
        <w:pStyle w:val="Zwykytekst1"/>
        <w:tabs>
          <w:tab w:val="left" w:leader="dot" w:pos="9360"/>
        </w:tabs>
        <w:ind w:left="5387"/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</w:pPr>
      <w:r w:rsidRPr="008434E3"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  <w:t>Naukowa i Akademicka Sieć Komputerowa</w:t>
      </w:r>
    </w:p>
    <w:p w:rsidR="00373938" w:rsidRPr="008434E3" w:rsidRDefault="00373938" w:rsidP="00373938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</w:pPr>
      <w:r w:rsidRPr="008434E3"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  <w:t>ul. Kolska 12</w:t>
      </w:r>
    </w:p>
    <w:p w:rsidR="00373938" w:rsidRPr="008434E3" w:rsidRDefault="00373938" w:rsidP="00373938">
      <w:pPr>
        <w:pStyle w:val="Zwykytekst1"/>
        <w:tabs>
          <w:tab w:val="left" w:leader="dot" w:pos="9360"/>
        </w:tabs>
        <w:ind w:left="5387"/>
        <w:jc w:val="both"/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</w:pPr>
      <w:r w:rsidRPr="008434E3"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  <w:t xml:space="preserve">01-045 Warszawa </w:t>
      </w:r>
    </w:p>
    <w:p w:rsidR="00373938" w:rsidRPr="008434E3" w:rsidRDefault="00373938" w:rsidP="00373938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373938" w:rsidRDefault="00373938" w:rsidP="00373938">
      <w:pPr>
        <w:autoSpaceDE w:val="0"/>
        <w:autoSpaceDN w:val="0"/>
        <w:adjustRightInd w:val="0"/>
        <w:jc w:val="both"/>
      </w:pPr>
      <w:r w:rsidRPr="008434E3">
        <w:rPr>
          <w:rFonts w:cs="Calibri"/>
          <w:bCs/>
        </w:rPr>
        <w:t xml:space="preserve">Nawiązując do </w:t>
      </w:r>
      <w:r>
        <w:rPr>
          <w:rFonts w:cs="Calibri"/>
          <w:bCs/>
        </w:rPr>
        <w:t xml:space="preserve">Ogłoszenia o udzielanym zamówieniu </w:t>
      </w:r>
      <w:r>
        <w:t xml:space="preserve">dot.: </w:t>
      </w:r>
      <w:r w:rsidRPr="008F1A22">
        <w:rPr>
          <w:b/>
        </w:rPr>
        <w:t xml:space="preserve">Zakup urządzeń </w:t>
      </w:r>
      <w:r>
        <w:rPr>
          <w:b/>
        </w:rPr>
        <w:t>do laboratorium NASK IB</w:t>
      </w:r>
    </w:p>
    <w:p w:rsidR="00373938" w:rsidRPr="008434E3" w:rsidRDefault="00373938" w:rsidP="00373938">
      <w:pPr>
        <w:autoSpaceDE w:val="0"/>
        <w:autoSpaceDN w:val="0"/>
        <w:adjustRightInd w:val="0"/>
        <w:jc w:val="both"/>
        <w:rPr>
          <w:rFonts w:cs="Calibri Light"/>
          <w:i/>
        </w:rPr>
      </w:pPr>
      <w:r>
        <w:t xml:space="preserve">znak postępowania: </w:t>
      </w:r>
      <w:r>
        <w:rPr>
          <w:b/>
        </w:rPr>
        <w:t>Z</w:t>
      </w:r>
      <w:r w:rsidRPr="00EB54D8">
        <w:rPr>
          <w:b/>
        </w:rPr>
        <w:t>Z</w:t>
      </w:r>
      <w:r>
        <w:rPr>
          <w:b/>
        </w:rPr>
        <w:t>.</w:t>
      </w:r>
      <w:r w:rsidRPr="00EB54D8">
        <w:rPr>
          <w:b/>
        </w:rPr>
        <w:t>21</w:t>
      </w:r>
      <w:r>
        <w:rPr>
          <w:b/>
        </w:rPr>
        <w:t>3</w:t>
      </w:r>
      <w:r w:rsidRPr="00EB54D8">
        <w:rPr>
          <w:b/>
        </w:rPr>
        <w:t>.Z</w:t>
      </w:r>
      <w:r>
        <w:rPr>
          <w:b/>
        </w:rPr>
        <w:t>.161.2017.KJA</w:t>
      </w:r>
    </w:p>
    <w:p w:rsidR="00373938" w:rsidRPr="008434E3" w:rsidRDefault="00373938" w:rsidP="00373938">
      <w:pPr>
        <w:pStyle w:val="Zwykytekst1"/>
        <w:numPr>
          <w:ilvl w:val="0"/>
          <w:numId w:val="2"/>
        </w:numPr>
        <w:tabs>
          <w:tab w:val="left" w:pos="567"/>
        </w:tabs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  <w:t>O</w:t>
      </w:r>
      <w:r w:rsidRPr="008434E3">
        <w:rPr>
          <w:rFonts w:asciiTheme="minorHAnsi" w:hAnsiTheme="minorHAnsi"/>
          <w:b/>
          <w:sz w:val="22"/>
          <w:szCs w:val="22"/>
        </w:rPr>
        <w:t xml:space="preserve">FERUJEMY </w:t>
      </w:r>
      <w:r w:rsidRPr="008434E3">
        <w:rPr>
          <w:rFonts w:asciiTheme="minorHAnsi" w:hAnsiTheme="minorHAnsi"/>
          <w:sz w:val="22"/>
          <w:szCs w:val="22"/>
        </w:rPr>
        <w:t xml:space="preserve">wykonanie przedmiotu zamówienia za </w:t>
      </w:r>
      <w:r w:rsidRPr="008434E3">
        <w:rPr>
          <w:rFonts w:asciiTheme="minorHAnsi" w:hAnsiTheme="minorHAnsi"/>
          <w:b/>
          <w:sz w:val="22"/>
          <w:szCs w:val="22"/>
        </w:rPr>
        <w:t xml:space="preserve">cenę: </w:t>
      </w:r>
    </w:p>
    <w:tbl>
      <w:tblPr>
        <w:tblStyle w:val="Tabela-Siatka"/>
        <w:tblW w:w="9781" w:type="dxa"/>
        <w:tblInd w:w="-147" w:type="dxa"/>
        <w:tblLook w:val="04A0"/>
      </w:tblPr>
      <w:tblGrid>
        <w:gridCol w:w="1702"/>
        <w:gridCol w:w="8079"/>
      </w:tblGrid>
      <w:tr w:rsidR="00373938" w:rsidRPr="00031B77" w:rsidTr="008428FB">
        <w:tc>
          <w:tcPr>
            <w:tcW w:w="1702" w:type="dxa"/>
          </w:tcPr>
          <w:p w:rsidR="00373938" w:rsidRPr="00031B77" w:rsidRDefault="00373938" w:rsidP="008428FB">
            <w:pPr>
              <w:pStyle w:val="Zwykytekst1"/>
              <w:tabs>
                <w:tab w:val="left" w:pos="284"/>
              </w:tabs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31B77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8079" w:type="dxa"/>
          </w:tcPr>
          <w:p w:rsidR="00373938" w:rsidRPr="00031B77" w:rsidRDefault="00373938" w:rsidP="008428FB">
            <w:pPr>
              <w:pStyle w:val="Zwykytekst1"/>
              <w:tabs>
                <w:tab w:val="left" w:pos="284"/>
              </w:tabs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31B77">
              <w:rPr>
                <w:rFonts w:asciiTheme="minorHAnsi" w:hAnsiTheme="minorHAnsi"/>
                <w:b/>
                <w:sz w:val="22"/>
                <w:szCs w:val="22"/>
              </w:rPr>
              <w:t>Specyfikacja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urządzeń</w:t>
            </w:r>
          </w:p>
        </w:tc>
      </w:tr>
      <w:tr w:rsidR="00373938" w:rsidRPr="00031B77" w:rsidTr="008428FB">
        <w:tc>
          <w:tcPr>
            <w:tcW w:w="1702" w:type="dxa"/>
          </w:tcPr>
          <w:p w:rsidR="00373938" w:rsidRPr="008F1A22" w:rsidRDefault="00373938" w:rsidP="008428FB">
            <w:pPr>
              <w:pStyle w:val="Zwykytekst1"/>
              <w:tabs>
                <w:tab w:val="left" w:pos="284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8F1A22">
              <w:rPr>
                <w:rFonts w:ascii="Calibri" w:hAnsi="Calibri"/>
                <w:sz w:val="22"/>
                <w:szCs w:val="22"/>
              </w:rPr>
              <w:t>Zakup urządzeń</w:t>
            </w:r>
            <w:r>
              <w:rPr>
                <w:rFonts w:ascii="Calibri" w:hAnsi="Calibri"/>
                <w:sz w:val="22"/>
                <w:szCs w:val="22"/>
              </w:rPr>
              <w:t xml:space="preserve"> do laboratorium </w:t>
            </w:r>
            <w:r w:rsidRPr="008F1A2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NASK IB</w:t>
            </w:r>
          </w:p>
        </w:tc>
        <w:tc>
          <w:tcPr>
            <w:tcW w:w="8079" w:type="dxa"/>
          </w:tcPr>
          <w:p w:rsidR="00373938" w:rsidRPr="00DA091C" w:rsidRDefault="00373938" w:rsidP="00373938">
            <w:pPr>
              <w:pStyle w:val="Akapitzlist"/>
              <w:numPr>
                <w:ilvl w:val="0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 xml:space="preserve">(2szt)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Switch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Juniper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 QFX10002-36Q w ukompletowaniu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>(1szt) przełącznik QFX10002-36Q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 xml:space="preserve">(1szt)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support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next-day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partnerski na okres 1 roku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 xml:space="preserve">(1szt) licencja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premium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feature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license</w:t>
            </w:r>
            <w:proofErr w:type="spellEnd"/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 xml:space="preserve">(1szt)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support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do licencji na okres 1 roku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 xml:space="preserve">(8szt)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transceiver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qsfp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>+ DAC 3m</w:t>
            </w:r>
          </w:p>
          <w:p w:rsidR="00373938" w:rsidRPr="00DA091C" w:rsidRDefault="00373938" w:rsidP="00373938">
            <w:pPr>
              <w:pStyle w:val="Akapitzlist"/>
              <w:numPr>
                <w:ilvl w:val="0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 xml:space="preserve">(2szt)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Switch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Juniper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QFX5100-48T w ukompletowaniu: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>(1szt) przełącznik QFX5100-48T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 xml:space="preserve">(1szt)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support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next-day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partnerski na okres 1 roku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DA091C">
              <w:rPr>
                <w:rFonts w:ascii="Calibri" w:hAnsi="Calibri"/>
                <w:sz w:val="22"/>
                <w:szCs w:val="22"/>
                <w:lang w:val="en-US"/>
              </w:rPr>
              <w:t xml:space="preserve">(4szt) transceiver-splitter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  <w:lang w:val="en-US"/>
              </w:rPr>
              <w:t>qsfp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  <w:lang w:val="en-US"/>
              </w:rPr>
              <w:t>+ 4x10G DAC 3m</w:t>
            </w:r>
          </w:p>
          <w:p w:rsidR="00373938" w:rsidRPr="00DA091C" w:rsidRDefault="00373938" w:rsidP="00373938">
            <w:pPr>
              <w:pStyle w:val="Akapitzlist"/>
              <w:numPr>
                <w:ilvl w:val="0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 xml:space="preserve">(2szt)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Switch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Juniper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QFX5100-48S w ukompletowaniu: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>(1szt) przełącznik QFX5100-48S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 xml:space="preserve">(1szt)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support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next-day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partnerski na okres 1 roku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DA091C">
              <w:rPr>
                <w:rFonts w:ascii="Calibri" w:hAnsi="Calibri"/>
                <w:sz w:val="22"/>
                <w:szCs w:val="22"/>
                <w:lang w:val="en-US"/>
              </w:rPr>
              <w:t xml:space="preserve">(4szt) transceiver-splitter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  <w:lang w:val="en-US"/>
              </w:rPr>
              <w:t>qsfp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  <w:lang w:val="en-US"/>
              </w:rPr>
              <w:t>+ 4x10G DAC 3m</w:t>
            </w:r>
          </w:p>
          <w:p w:rsidR="00373938" w:rsidRPr="00DA091C" w:rsidRDefault="00373938" w:rsidP="00373938">
            <w:pPr>
              <w:pStyle w:val="Akapitzlist"/>
              <w:numPr>
                <w:ilvl w:val="0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DA091C">
              <w:rPr>
                <w:rFonts w:ascii="Calibri" w:hAnsi="Calibri"/>
                <w:sz w:val="22"/>
                <w:szCs w:val="22"/>
                <w:lang w:val="en-US"/>
              </w:rPr>
              <w:t>(2szt)  Juniper NFX250-S2</w:t>
            </w:r>
          </w:p>
          <w:p w:rsidR="00373938" w:rsidRPr="00DA091C" w:rsidRDefault="00373938" w:rsidP="00373938">
            <w:pPr>
              <w:pStyle w:val="Akapitzlist"/>
              <w:numPr>
                <w:ilvl w:val="0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>(1szt) Serwer w następującym ukompletowaniu: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lastRenderedPageBreak/>
              <w:t xml:space="preserve">(1szt) obudowa typu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rack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19”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DA091C">
              <w:rPr>
                <w:rFonts w:ascii="Calibri" w:hAnsi="Calibri"/>
                <w:sz w:val="22"/>
                <w:szCs w:val="22"/>
                <w:lang w:val="en-US"/>
              </w:rPr>
              <w:t xml:space="preserve">(2szt)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  <w:lang w:val="en-US"/>
              </w:rPr>
              <w:t>procesor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  <w:lang w:val="en-US"/>
              </w:rPr>
              <w:t xml:space="preserve"> Intel Xeon E5-2683 v4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>256GB (8x32GB) pamięci RAM typu DDR4 2400MHz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 xml:space="preserve">(1szt) Kontroler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Raid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PERC H730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>(4szt) dysk 4TB NLSAS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 xml:space="preserve">(1szt) napęd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DVD-RW</w:t>
            </w:r>
            <w:proofErr w:type="spellEnd"/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>(1szt) karta sieciowa 4-portowa 10/100/1000BASE-T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>(1szt) karta sieciowa Intel X710 Dual Port (2x SFP+)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>(1szt) moduł zarządzania serwerem z dedykowanym interfejsem sieciowym oraz dostępem interfejsem WWW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>(1szt) zasilacz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>(1szt) ruchome szyny montażowe do szafy serwerowej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support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na trzy lata, usługa zachowania dysków twardych na trzy lata</w:t>
            </w:r>
          </w:p>
          <w:p w:rsidR="00373938" w:rsidRPr="00DA091C" w:rsidRDefault="00373938" w:rsidP="00373938">
            <w:pPr>
              <w:pStyle w:val="Akapitzlist"/>
              <w:numPr>
                <w:ilvl w:val="0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>(8szt) Moduły SFP+ 10GBASE-T</w:t>
            </w:r>
          </w:p>
          <w:p w:rsidR="00373938" w:rsidRPr="00DA091C" w:rsidRDefault="00373938" w:rsidP="00373938">
            <w:pPr>
              <w:pStyle w:val="Akapitzlist"/>
              <w:numPr>
                <w:ilvl w:val="0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 xml:space="preserve">(1szt) Licencja oprogramowania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Splunk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Enterprise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A091C">
              <w:rPr>
                <w:rFonts w:ascii="Calibri" w:hAnsi="Calibri"/>
                <w:sz w:val="22"/>
                <w:szCs w:val="22"/>
              </w:rPr>
              <w:t>o następujących cechach: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Annual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License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na czas 12 miesięcy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>Licencja na 2GB indeksu dziennie</w:t>
            </w:r>
          </w:p>
          <w:p w:rsidR="00373938" w:rsidRPr="00DA091C" w:rsidRDefault="00373938" w:rsidP="00373938">
            <w:pPr>
              <w:pStyle w:val="Akapitzlist"/>
              <w:numPr>
                <w:ilvl w:val="0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 xml:space="preserve">(2szt) Szafa serwerowa 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>Szafa serwerowa 42U o głębokości 100cm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DA091C">
              <w:rPr>
                <w:rFonts w:ascii="Calibri" w:hAnsi="Calibri"/>
                <w:sz w:val="22"/>
                <w:szCs w:val="22"/>
                <w:lang w:val="en-US"/>
              </w:rPr>
              <w:t xml:space="preserve">(1szt) Patch panel 48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  <w:lang w:val="en-US"/>
              </w:rPr>
              <w:t>portów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  <w:lang w:val="en-US"/>
              </w:rPr>
              <w:t xml:space="preserve"> RJ45 cat6a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 xml:space="preserve">(1szt)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Patch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panel światłowodowy 24 porty duplex SC/APC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 xml:space="preserve">(2szt) listwy zasilania </w:t>
            </w:r>
          </w:p>
          <w:p w:rsidR="00373938" w:rsidRPr="00DA091C" w:rsidRDefault="00373938" w:rsidP="00373938">
            <w:pPr>
              <w:pStyle w:val="Akapitzlist"/>
              <w:numPr>
                <w:ilvl w:val="1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 xml:space="preserve">(4szt) </w:t>
            </w:r>
            <w:proofErr w:type="spellStart"/>
            <w:r w:rsidRPr="00DA091C">
              <w:rPr>
                <w:rFonts w:ascii="Calibri" w:hAnsi="Calibri"/>
                <w:sz w:val="22"/>
                <w:szCs w:val="22"/>
              </w:rPr>
              <w:t>organizery</w:t>
            </w:r>
            <w:proofErr w:type="spellEnd"/>
            <w:r w:rsidRPr="00DA091C">
              <w:rPr>
                <w:rFonts w:ascii="Calibri" w:hAnsi="Calibri"/>
                <w:sz w:val="22"/>
                <w:szCs w:val="22"/>
              </w:rPr>
              <w:t xml:space="preserve"> kablowe</w:t>
            </w:r>
          </w:p>
          <w:p w:rsidR="00373938" w:rsidRPr="00DA091C" w:rsidRDefault="00373938" w:rsidP="00373938">
            <w:pPr>
              <w:pStyle w:val="Akapitzlist"/>
              <w:numPr>
                <w:ilvl w:val="0"/>
                <w:numId w:val="1"/>
              </w:numPr>
              <w:suppressAutoHyphens/>
              <w:spacing w:after="160" w:line="254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DA091C">
              <w:rPr>
                <w:rFonts w:ascii="Calibri" w:hAnsi="Calibri"/>
                <w:sz w:val="22"/>
                <w:szCs w:val="22"/>
              </w:rPr>
              <w:t>(2szt) Karta sieciowa 40Gbps Intel XL710QDA2</w:t>
            </w:r>
          </w:p>
          <w:p w:rsidR="00373938" w:rsidRPr="008F1A22" w:rsidRDefault="00373938" w:rsidP="008428FB">
            <w:pPr>
              <w:pStyle w:val="Akapitzlist"/>
              <w:suppressAutoHyphens/>
              <w:spacing w:after="160" w:line="254" w:lineRule="auto"/>
              <w:ind w:left="771"/>
              <w:jc w:val="both"/>
              <w:rPr>
                <w:rFonts w:ascii="Calibri" w:hAnsi="Calibri"/>
              </w:rPr>
            </w:pPr>
          </w:p>
        </w:tc>
      </w:tr>
      <w:tr w:rsidR="00373938" w:rsidRPr="00CC6EB7" w:rsidTr="008428FB">
        <w:tc>
          <w:tcPr>
            <w:tcW w:w="1702" w:type="dxa"/>
          </w:tcPr>
          <w:p w:rsidR="00373938" w:rsidRPr="00031B77" w:rsidRDefault="00373938" w:rsidP="008428FB">
            <w:pPr>
              <w:pStyle w:val="Zwykytekst1"/>
              <w:tabs>
                <w:tab w:val="left" w:pos="284"/>
              </w:tabs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6EB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WARTOŚ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Ć</w:t>
            </w:r>
            <w:r w:rsidRPr="00CC6EB7">
              <w:rPr>
                <w:rFonts w:asciiTheme="minorHAnsi" w:hAnsiTheme="minorHAns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8079" w:type="dxa"/>
          </w:tcPr>
          <w:p w:rsidR="00373938" w:rsidRPr="00031B77" w:rsidRDefault="00373938" w:rsidP="008428FB">
            <w:pPr>
              <w:pStyle w:val="Zwykytekst1"/>
              <w:tabs>
                <w:tab w:val="left" w:pos="284"/>
              </w:tabs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73938" w:rsidRPr="00CC6EB7" w:rsidTr="008428FB">
        <w:tc>
          <w:tcPr>
            <w:tcW w:w="1702" w:type="dxa"/>
          </w:tcPr>
          <w:p w:rsidR="00373938" w:rsidRPr="00031B77" w:rsidRDefault="00373938" w:rsidP="008428FB">
            <w:pPr>
              <w:pStyle w:val="Zwykytekst1"/>
              <w:tabs>
                <w:tab w:val="left" w:pos="284"/>
              </w:tabs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6EB7">
              <w:rPr>
                <w:rFonts w:asciiTheme="minorHAnsi" w:hAnsiTheme="minorHAnsi"/>
                <w:b/>
                <w:sz w:val="22"/>
                <w:szCs w:val="22"/>
              </w:rPr>
              <w:t xml:space="preserve">Podatek VAT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……. </w:t>
            </w:r>
            <w:r w:rsidRPr="00CC6EB7">
              <w:rPr>
                <w:rFonts w:asciiTheme="minorHAnsi" w:hAnsiTheme="minorHAnsi"/>
                <w:b/>
                <w:sz w:val="22"/>
                <w:szCs w:val="22"/>
              </w:rPr>
              <w:t>%</w:t>
            </w:r>
          </w:p>
        </w:tc>
        <w:tc>
          <w:tcPr>
            <w:tcW w:w="8079" w:type="dxa"/>
          </w:tcPr>
          <w:p w:rsidR="00373938" w:rsidRPr="00031B77" w:rsidRDefault="00373938" w:rsidP="008428FB">
            <w:pPr>
              <w:pStyle w:val="Zwykytekst1"/>
              <w:tabs>
                <w:tab w:val="left" w:pos="284"/>
              </w:tabs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73938" w:rsidRPr="00CC6EB7" w:rsidTr="008428FB">
        <w:tc>
          <w:tcPr>
            <w:tcW w:w="1702" w:type="dxa"/>
          </w:tcPr>
          <w:p w:rsidR="00373938" w:rsidRPr="00031B77" w:rsidRDefault="00373938" w:rsidP="008428FB">
            <w:pPr>
              <w:pStyle w:val="Zwykytekst1"/>
              <w:tabs>
                <w:tab w:val="left" w:pos="284"/>
              </w:tabs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6EB7">
              <w:rPr>
                <w:rFonts w:asciiTheme="minorHAnsi" w:hAnsiTheme="minorHAnsi"/>
                <w:b/>
                <w:sz w:val="22"/>
                <w:szCs w:val="22"/>
              </w:rPr>
              <w:t>WARTOŚĆ BRUTTO</w:t>
            </w:r>
          </w:p>
        </w:tc>
        <w:tc>
          <w:tcPr>
            <w:tcW w:w="8079" w:type="dxa"/>
          </w:tcPr>
          <w:p w:rsidR="00373938" w:rsidRPr="00031B77" w:rsidRDefault="00373938" w:rsidP="008428FB">
            <w:pPr>
              <w:pStyle w:val="Zwykytekst1"/>
              <w:tabs>
                <w:tab w:val="left" w:pos="284"/>
              </w:tabs>
              <w:spacing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73938" w:rsidRPr="00FC13DC" w:rsidRDefault="00373938" w:rsidP="00373938">
      <w:pPr>
        <w:pStyle w:val="Zwykytekst1"/>
        <w:tabs>
          <w:tab w:val="left" w:pos="567"/>
        </w:tabs>
        <w:spacing w:after="120"/>
        <w:ind w:left="720"/>
        <w:jc w:val="both"/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</w:pPr>
    </w:p>
    <w:p w:rsidR="00373938" w:rsidRPr="00FC13DC" w:rsidRDefault="00373938" w:rsidP="00373938">
      <w:pPr>
        <w:pStyle w:val="Zwykytekst1"/>
        <w:numPr>
          <w:ilvl w:val="0"/>
          <w:numId w:val="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FC13DC">
        <w:rPr>
          <w:rFonts w:asciiTheme="minorHAnsi" w:hAnsiTheme="minorHAnsi"/>
          <w:b/>
          <w:sz w:val="22"/>
          <w:szCs w:val="22"/>
        </w:rPr>
        <w:t>OFERUJEMY</w:t>
      </w:r>
      <w:r w:rsidRPr="00FC13DC">
        <w:rPr>
          <w:rFonts w:asciiTheme="minorHAnsi" w:hAnsiTheme="minorHAnsi"/>
          <w:sz w:val="22"/>
          <w:szCs w:val="22"/>
        </w:rPr>
        <w:t xml:space="preserve"> wykonanie przedmiotu zamówienia</w:t>
      </w:r>
      <w:r>
        <w:rPr>
          <w:rFonts w:asciiTheme="minorHAnsi" w:hAnsiTheme="minorHAnsi"/>
          <w:sz w:val="22"/>
          <w:szCs w:val="22"/>
        </w:rPr>
        <w:t xml:space="preserve"> w terminie:</w:t>
      </w:r>
      <w:r w:rsidRPr="00000021">
        <w:rPr>
          <w:rFonts w:asciiTheme="minorHAnsi" w:hAnsiTheme="minorHAnsi"/>
          <w:sz w:val="22"/>
          <w:szCs w:val="22"/>
        </w:rPr>
        <w:t xml:space="preserve"> dostawa do siedziby Zamawiającego w ciągu 6 tygodni od otrzymania zamówienia od Zamawiającego</w:t>
      </w:r>
      <w:r w:rsidRPr="00FC13DC">
        <w:rPr>
          <w:rFonts w:asciiTheme="minorHAnsi" w:hAnsiTheme="minorHAnsi"/>
          <w:sz w:val="22"/>
          <w:szCs w:val="22"/>
        </w:rPr>
        <w:t>.</w:t>
      </w:r>
    </w:p>
    <w:p w:rsidR="00373938" w:rsidRPr="00FC13DC" w:rsidRDefault="00373938" w:rsidP="00373938">
      <w:pPr>
        <w:pStyle w:val="Zwykytekst1"/>
        <w:numPr>
          <w:ilvl w:val="0"/>
          <w:numId w:val="2"/>
        </w:numPr>
        <w:tabs>
          <w:tab w:val="left" w:pos="709"/>
        </w:tabs>
        <w:spacing w:after="120"/>
        <w:jc w:val="both"/>
        <w:rPr>
          <w:rFonts w:asciiTheme="minorHAnsi" w:hAnsiTheme="minorHAnsi"/>
          <w:sz w:val="22"/>
          <w:szCs w:val="22"/>
        </w:rPr>
      </w:pPr>
      <w:r w:rsidRPr="00FC13DC">
        <w:rPr>
          <w:rFonts w:asciiTheme="minorHAnsi" w:eastAsia="Calibri" w:hAnsiTheme="minorHAnsi" w:cs="Calibri"/>
          <w:b/>
          <w:bCs/>
          <w:sz w:val="22"/>
          <w:szCs w:val="22"/>
          <w:lang w:eastAsia="en-US"/>
        </w:rPr>
        <w:t>OŚWIADCZAMY</w:t>
      </w:r>
      <w:r w:rsidRPr="00FC13DC">
        <w:rPr>
          <w:rFonts w:asciiTheme="minorHAnsi" w:eastAsia="Calibri" w:hAnsiTheme="minorHAnsi" w:cs="Calibri"/>
          <w:bCs/>
          <w:sz w:val="22"/>
          <w:szCs w:val="22"/>
          <w:lang w:eastAsia="en-US"/>
        </w:rPr>
        <w:t>, że jestem związany niniejszą ofertą przez okres 30 dni od dnia upływu terminu składania</w:t>
      </w:r>
      <w:r w:rsidRPr="00FC13DC">
        <w:rPr>
          <w:rFonts w:asciiTheme="minorHAnsi" w:hAnsiTheme="minorHAnsi"/>
          <w:sz w:val="22"/>
          <w:szCs w:val="22"/>
        </w:rPr>
        <w:t xml:space="preserve"> ofert.</w:t>
      </w:r>
    </w:p>
    <w:p w:rsidR="00373938" w:rsidRDefault="00373938" w:rsidP="00373938">
      <w:pPr>
        <w:pStyle w:val="Zwykytekst1"/>
        <w:tabs>
          <w:tab w:val="left" w:pos="284"/>
        </w:tabs>
        <w:spacing w:after="120"/>
        <w:ind w:left="709"/>
        <w:jc w:val="both"/>
        <w:rPr>
          <w:rFonts w:cstheme="minorHAnsi"/>
        </w:rPr>
      </w:pPr>
    </w:p>
    <w:p w:rsidR="00373938" w:rsidRPr="008434E3" w:rsidRDefault="00373938" w:rsidP="00373938">
      <w:pPr>
        <w:jc w:val="both"/>
        <w:rPr>
          <w:i/>
        </w:rPr>
      </w:pPr>
    </w:p>
    <w:p w:rsidR="00373938" w:rsidRDefault="00373938" w:rsidP="00373938">
      <w:pPr>
        <w:spacing w:after="0"/>
        <w:jc w:val="both"/>
      </w:pPr>
      <w:r>
        <w:t>……………………………….</w:t>
      </w:r>
      <w:r w:rsidRPr="008434E3">
        <w:t>, dn</w:t>
      </w:r>
      <w:r>
        <w:t>ia …………………………. 2017 r.</w:t>
      </w:r>
      <w:r w:rsidRPr="008434E3">
        <w:t xml:space="preserve">          </w:t>
      </w:r>
      <w:r>
        <w:tab/>
      </w:r>
    </w:p>
    <w:p w:rsidR="00373938" w:rsidRDefault="00373938" w:rsidP="00373938">
      <w:pPr>
        <w:spacing w:after="0"/>
        <w:jc w:val="both"/>
      </w:pPr>
    </w:p>
    <w:p w:rsidR="00373938" w:rsidRDefault="00373938" w:rsidP="00373938">
      <w:pPr>
        <w:spacing w:after="0"/>
        <w:jc w:val="both"/>
      </w:pPr>
    </w:p>
    <w:p w:rsidR="00373938" w:rsidRPr="008434E3" w:rsidRDefault="00373938" w:rsidP="00373938">
      <w:pPr>
        <w:spacing w:after="0"/>
        <w:ind w:left="5387"/>
        <w:jc w:val="center"/>
      </w:pPr>
      <w:r>
        <w:t>…………………………………………………………..</w:t>
      </w:r>
    </w:p>
    <w:p w:rsidR="00373938" w:rsidRDefault="00373938" w:rsidP="00373938">
      <w:pPr>
        <w:spacing w:after="0"/>
        <w:ind w:left="5387"/>
        <w:jc w:val="center"/>
        <w:rPr>
          <w:i/>
        </w:rPr>
      </w:pPr>
      <w:r w:rsidRPr="008434E3">
        <w:rPr>
          <w:i/>
        </w:rPr>
        <w:t>podpis Wykonawcy</w:t>
      </w:r>
      <w:r>
        <w:rPr>
          <w:i/>
        </w:rPr>
        <w:t xml:space="preserve"> lub </w:t>
      </w:r>
    </w:p>
    <w:p w:rsidR="00B63C0E" w:rsidRDefault="00373938" w:rsidP="00373938">
      <w:pPr>
        <w:spacing w:after="0"/>
        <w:ind w:left="5387"/>
        <w:jc w:val="center"/>
      </w:pPr>
      <w:r>
        <w:rPr>
          <w:i/>
        </w:rPr>
        <w:t>upoważnionego przedstawiciela Wykonawcy</w:t>
      </w:r>
    </w:p>
    <w:sectPr w:rsidR="00B63C0E" w:rsidSect="00B63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5564B"/>
    <w:multiLevelType w:val="hybridMultilevel"/>
    <w:tmpl w:val="583C5AF0"/>
    <w:lvl w:ilvl="0" w:tplc="5B72B7D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6E3"/>
    <w:multiLevelType w:val="multilevel"/>
    <w:tmpl w:val="203E2CE2"/>
    <w:lvl w:ilvl="0">
      <w:start w:val="1"/>
      <w:numFmt w:val="bullet"/>
      <w:lvlText w:val=""/>
      <w:lvlJc w:val="left"/>
      <w:pPr>
        <w:ind w:left="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3938"/>
    <w:rsid w:val="00373938"/>
    <w:rsid w:val="007C5DF4"/>
    <w:rsid w:val="00B6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9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393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373938"/>
    <w:pPr>
      <w:ind w:left="720"/>
      <w:contextualSpacing/>
    </w:pPr>
  </w:style>
  <w:style w:type="paragraph" w:customStyle="1" w:styleId="Zwykytekst1">
    <w:name w:val="Zwykły tekst1"/>
    <w:basedOn w:val="Normalny"/>
    <w:rsid w:val="0037393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373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krzysztofj</dc:creator>
  <cp:lastModifiedBy>krzysztofj</cp:lastModifiedBy>
  <cp:revision>1</cp:revision>
  <dcterms:created xsi:type="dcterms:W3CDTF">2017-06-20T08:25:00Z</dcterms:created>
  <dcterms:modified xsi:type="dcterms:W3CDTF">2017-06-20T08:27:00Z</dcterms:modified>
</cp:coreProperties>
</file>