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F4" w:rsidRDefault="001B77F4" w:rsidP="001B77F4">
      <w:pPr>
        <w:jc w:val="right"/>
      </w:pPr>
      <w:r>
        <w:t>Warszawa, dnia 23.08.2022 r.</w:t>
      </w:r>
    </w:p>
    <w:p w:rsidR="001B77F4" w:rsidRPr="001B77F4" w:rsidRDefault="001B77F4" w:rsidP="001B77F4">
      <w:pPr>
        <w:spacing w:after="0"/>
        <w:jc w:val="center"/>
        <w:rPr>
          <w:b/>
        </w:rPr>
      </w:pPr>
      <w:r w:rsidRPr="001B77F4">
        <w:rPr>
          <w:b/>
        </w:rPr>
        <w:t>ROZEZNANIE RYNKU</w:t>
      </w:r>
    </w:p>
    <w:p w:rsidR="001B77F4" w:rsidRPr="001B77F4" w:rsidRDefault="001B77F4" w:rsidP="001B77F4">
      <w:pPr>
        <w:spacing w:after="0"/>
        <w:jc w:val="center"/>
        <w:rPr>
          <w:b/>
        </w:rPr>
      </w:pPr>
      <w:r w:rsidRPr="001B77F4">
        <w:rPr>
          <w:b/>
        </w:rPr>
        <w:t>(szacowanie wartości zamówienia)</w:t>
      </w:r>
    </w:p>
    <w:p w:rsidR="001B77F4" w:rsidRDefault="001B77F4" w:rsidP="001B77F4"/>
    <w:p w:rsidR="001B77F4" w:rsidRDefault="001B77F4" w:rsidP="001B77F4">
      <w:r>
        <w:t>W związku z planowanym ogłoszeniem postępowania o udzielenie zamówienia publicznego przez Zamawiającego NASK PIB, w ramach procedury rozeznania rynku Zamawiający zwraca się z uprzejmą prośbą o przedstawienie wstępnej szacunkowej wyceny wykonania</w:t>
      </w:r>
      <w:r w:rsidR="00F64F23">
        <w:t xml:space="preserve"> zadania</w:t>
      </w:r>
      <w:r>
        <w:t xml:space="preserve"> „Rozbudowa posiadanego przez Zamawiającego oprogramowania TETA HR i TETA ME”.</w:t>
      </w:r>
    </w:p>
    <w:p w:rsidR="00CC7893" w:rsidRDefault="00CC7893" w:rsidP="00CC7893">
      <w:pPr>
        <w:spacing w:after="0"/>
        <w:rPr>
          <w:b/>
        </w:rPr>
      </w:pPr>
      <w:r>
        <w:rPr>
          <w:b/>
        </w:rPr>
        <w:t xml:space="preserve">1. Przedmiot zamówienia: </w:t>
      </w:r>
    </w:p>
    <w:p w:rsidR="00CC7893" w:rsidRPr="00CC7893" w:rsidRDefault="001B77F4" w:rsidP="00CC7893">
      <w:pPr>
        <w:spacing w:after="0"/>
        <w:rPr>
          <w:b/>
        </w:rPr>
      </w:pPr>
      <w:r>
        <w:t xml:space="preserve">Zadaniem realizującego przedmiot zamówienia będzie </w:t>
      </w:r>
      <w:r w:rsidR="00CC7893" w:rsidRPr="002057FB">
        <w:rPr>
          <w:rFonts w:eastAsia="Times New Roman" w:cstheme="minorHAnsi"/>
          <w:szCs w:val="20"/>
        </w:rPr>
        <w:t xml:space="preserve">rozszerzenie posiadanego przez Zamawiającego Oprogramowania TETA HR i TETA ME, poprzez uzyskanie licencji i wdrożenie nowych funkcjonalności </w:t>
      </w:r>
      <w:r w:rsidR="00CC7893" w:rsidRPr="002057FB">
        <w:rPr>
          <w:rFonts w:cstheme="minorHAnsi"/>
          <w:szCs w:val="20"/>
        </w:rPr>
        <w:t>w tym jego parametryzacja</w:t>
      </w:r>
      <w:r w:rsidR="00CC7893" w:rsidRPr="002057FB">
        <w:rPr>
          <w:rFonts w:eastAsia="Times New Roman" w:cstheme="minorHAnsi"/>
          <w:szCs w:val="20"/>
        </w:rPr>
        <w:t>:</w:t>
      </w:r>
    </w:p>
    <w:p w:rsidR="00CC7893" w:rsidRPr="002057FB" w:rsidRDefault="00CC7893" w:rsidP="00CC7893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>Dostawa licencji serwerowych dla Oprogramowania TETA ME, zgodnego ze specyfikacją opisaną w punkcie 3</w:t>
      </w:r>
      <w:r>
        <w:rPr>
          <w:rFonts w:eastAsia="Times New Roman" w:cstheme="minorHAnsi"/>
          <w:szCs w:val="20"/>
        </w:rPr>
        <w:t xml:space="preserve"> SOPZ</w:t>
      </w:r>
      <w:r w:rsidRPr="002057FB">
        <w:rPr>
          <w:rFonts w:eastAsia="Times New Roman" w:cstheme="minorHAnsi"/>
          <w:szCs w:val="20"/>
        </w:rPr>
        <w:t xml:space="preserve"> lub licencji serwerowych dla oprogramowania równoważnego, spełniającego wymagania opisane w punkcie 4</w:t>
      </w:r>
      <w:r>
        <w:rPr>
          <w:rFonts w:eastAsia="Times New Roman" w:cstheme="minorHAnsi"/>
          <w:szCs w:val="20"/>
        </w:rPr>
        <w:t xml:space="preserve"> SOPZ</w:t>
      </w:r>
      <w:r w:rsidRPr="002057FB">
        <w:rPr>
          <w:rFonts w:eastAsia="Times New Roman" w:cstheme="minorHAnsi"/>
          <w:szCs w:val="20"/>
        </w:rPr>
        <w:t>,</w:t>
      </w:r>
    </w:p>
    <w:p w:rsidR="00CC7893" w:rsidRPr="002057FB" w:rsidRDefault="00CC7893" w:rsidP="00CC7893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>Wykonanie prac wdrożeniowych w zakresie wdrażanego Oprogramowania lub oprogramowania równoważnego zgodnie ze specyfikacją, w szczególności w zakresie:</w:t>
      </w:r>
    </w:p>
    <w:p w:rsidR="00CC7893" w:rsidRPr="002057FB" w:rsidRDefault="00CC7893" w:rsidP="00CC7893">
      <w:pPr>
        <w:pStyle w:val="Akapitzlist"/>
        <w:spacing w:after="0"/>
        <w:ind w:left="360"/>
        <w:rPr>
          <w:rFonts w:eastAsia="Times New Roman" w:cstheme="minorHAnsi"/>
          <w:szCs w:val="20"/>
        </w:rPr>
      </w:pPr>
    </w:p>
    <w:p w:rsidR="00CC7893" w:rsidRPr="002057FB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 xml:space="preserve">analizy wdrożeniowej, </w:t>
      </w:r>
    </w:p>
    <w:p w:rsidR="00CC7893" w:rsidRPr="002057FB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 xml:space="preserve">parametryzacji systemu </w:t>
      </w:r>
    </w:p>
    <w:p w:rsidR="00CC7893" w:rsidRPr="002057FB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szCs w:val="20"/>
        </w:rPr>
        <w:t>modyfikacji programistycznych,</w:t>
      </w:r>
    </w:p>
    <w:p w:rsidR="00CC7893" w:rsidRPr="002057FB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>szkolenia,</w:t>
      </w:r>
    </w:p>
    <w:p w:rsidR="00CC7893" w:rsidRPr="002057FB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>asysty uruchomieniowej i powdrożeniowej,</w:t>
      </w:r>
    </w:p>
    <w:p w:rsidR="00CC7893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2057FB">
        <w:rPr>
          <w:rFonts w:eastAsia="Times New Roman" w:cstheme="minorHAnsi"/>
          <w:szCs w:val="20"/>
        </w:rPr>
        <w:t>puli dni na prace dodatkowe,</w:t>
      </w:r>
    </w:p>
    <w:p w:rsidR="00CC7893" w:rsidRPr="00CC7893" w:rsidRDefault="00CC7893" w:rsidP="00CC7893">
      <w:pPr>
        <w:pStyle w:val="Akapitzlist"/>
        <w:numPr>
          <w:ilvl w:val="1"/>
          <w:numId w:val="6"/>
        </w:numPr>
        <w:spacing w:after="0"/>
        <w:rPr>
          <w:rFonts w:eastAsia="Times New Roman" w:cstheme="minorHAnsi"/>
          <w:szCs w:val="20"/>
        </w:rPr>
      </w:pPr>
      <w:r w:rsidRPr="00CC7893">
        <w:rPr>
          <w:rFonts w:eastAsia="Times New Roman" w:cstheme="minorHAnsi"/>
          <w:szCs w:val="20"/>
        </w:rPr>
        <w:t>Zarządzania projektem.</w:t>
      </w:r>
      <w:r w:rsidR="001B77F4">
        <w:t xml:space="preserve"> </w:t>
      </w:r>
    </w:p>
    <w:p w:rsidR="00CC7893" w:rsidRPr="00CC7893" w:rsidRDefault="00CC7893" w:rsidP="00CC7893">
      <w:pPr>
        <w:pStyle w:val="Akapitzlist"/>
        <w:spacing w:after="0"/>
        <w:ind w:left="1080"/>
        <w:rPr>
          <w:rFonts w:eastAsia="Times New Roman" w:cstheme="minorHAnsi"/>
          <w:szCs w:val="20"/>
        </w:rPr>
      </w:pPr>
    </w:p>
    <w:p w:rsidR="001B77F4" w:rsidRPr="00CC7893" w:rsidRDefault="001B77F4" w:rsidP="00CC7893">
      <w:pPr>
        <w:spacing w:after="0"/>
        <w:rPr>
          <w:rFonts w:eastAsia="Times New Roman" w:cstheme="minorHAnsi"/>
          <w:szCs w:val="20"/>
        </w:rPr>
      </w:pPr>
      <w:bookmarkStart w:id="0" w:name="_GoBack"/>
      <w:r>
        <w:t>zgodnie z</w:t>
      </w:r>
      <w:r w:rsidR="00CC7893">
        <w:t>e</w:t>
      </w:r>
      <w:r>
        <w:t xml:space="preserve"> </w:t>
      </w:r>
      <w:r w:rsidR="00CC7893">
        <w:t>Szczegółowym O</w:t>
      </w:r>
      <w:r>
        <w:t xml:space="preserve">pisem </w:t>
      </w:r>
      <w:r w:rsidR="00CC7893">
        <w:t>Przedmiotu Z</w:t>
      </w:r>
      <w:r>
        <w:t>amówienia</w:t>
      </w:r>
      <w:r w:rsidR="00CC7893">
        <w:t xml:space="preserve">  (SOPZ)</w:t>
      </w:r>
      <w:r>
        <w:t xml:space="preserve"> stanowiącym załącznik nr 1. </w:t>
      </w:r>
    </w:p>
    <w:bookmarkEnd w:id="0"/>
    <w:p w:rsidR="00CC7893" w:rsidRDefault="00CC7893" w:rsidP="004C27F6">
      <w:pPr>
        <w:rPr>
          <w:color w:val="000000"/>
          <w:lang w:eastAsia="pl-PL"/>
        </w:rPr>
      </w:pPr>
    </w:p>
    <w:p w:rsidR="004C27F6" w:rsidRDefault="004C27F6" w:rsidP="00CC7893">
      <w:pPr>
        <w:spacing w:after="0"/>
        <w:rPr>
          <w:color w:val="262625"/>
          <w:lang w:eastAsia="pl-PL"/>
        </w:rPr>
      </w:pPr>
      <w:r>
        <w:rPr>
          <w:color w:val="000000"/>
          <w:lang w:eastAsia="pl-PL"/>
        </w:rPr>
        <w:t xml:space="preserve">Funkcjonalności </w:t>
      </w:r>
      <w:r>
        <w:rPr>
          <w:color w:val="262625"/>
          <w:lang w:eastAsia="pl-PL"/>
        </w:rPr>
        <w:t>Oprogramowania TETA ME</w:t>
      </w:r>
      <w:r w:rsidR="00F64F23">
        <w:rPr>
          <w:color w:val="262625"/>
          <w:lang w:eastAsia="pl-PL"/>
        </w:rPr>
        <w:t>,</w:t>
      </w:r>
      <w:r>
        <w:rPr>
          <w:color w:val="262625"/>
          <w:lang w:eastAsia="pl-PL"/>
        </w:rPr>
        <w:t xml:space="preserve"> o które planowana jest rozbudowa:</w:t>
      </w:r>
    </w:p>
    <w:p w:rsidR="004C27F6" w:rsidRDefault="004C27F6" w:rsidP="00CC7893">
      <w:pPr>
        <w:numPr>
          <w:ilvl w:val="0"/>
          <w:numId w:val="5"/>
        </w:numPr>
        <w:spacing w:after="0"/>
        <w:jc w:val="left"/>
        <w:rPr>
          <w:color w:val="262625"/>
          <w:lang w:eastAsia="pl-PL"/>
        </w:rPr>
      </w:pPr>
      <w:r>
        <w:rPr>
          <w:color w:val="262625"/>
          <w:lang w:eastAsia="pl-PL"/>
        </w:rPr>
        <w:t>Raporty dla menedżerów,</w:t>
      </w:r>
    </w:p>
    <w:p w:rsidR="004C27F6" w:rsidRDefault="004C27F6" w:rsidP="00CC7893">
      <w:pPr>
        <w:numPr>
          <w:ilvl w:val="0"/>
          <w:numId w:val="5"/>
        </w:numPr>
        <w:spacing w:after="0"/>
        <w:jc w:val="left"/>
        <w:rPr>
          <w:color w:val="262625"/>
          <w:lang w:eastAsia="pl-PL"/>
        </w:rPr>
      </w:pPr>
      <w:r>
        <w:t>Raportowanie dla menadżerów  - dodatkowe 5 slotów,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  <w:rPr>
          <w:color w:val="262625"/>
          <w:lang w:eastAsia="pl-PL"/>
        </w:rPr>
      </w:pPr>
      <w:r>
        <w:rPr>
          <w:color w:val="262625"/>
          <w:lang w:eastAsia="pl-PL"/>
        </w:rPr>
        <w:t>Teczki pracownicze (TETA HR),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  <w:rPr>
          <w:color w:val="262625"/>
          <w:lang w:eastAsia="pl-PL"/>
        </w:rPr>
      </w:pPr>
      <w:r>
        <w:rPr>
          <w:color w:val="262625"/>
          <w:lang w:eastAsia="pl-PL"/>
        </w:rPr>
        <w:t xml:space="preserve">Moja Teczka Pracownicza, 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  <w:rPr>
          <w:color w:val="262625"/>
          <w:lang w:eastAsia="pl-PL"/>
        </w:rPr>
      </w:pPr>
      <w:r>
        <w:rPr>
          <w:color w:val="262625"/>
          <w:lang w:eastAsia="pl-PL"/>
        </w:rPr>
        <w:t>Dokumenty pracowników z teczek,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  <w:rPr>
          <w:color w:val="auto"/>
        </w:rPr>
      </w:pPr>
      <w:r>
        <w:t>Zarządzanie godzinami nadliczbowymi,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</w:pPr>
      <w:r>
        <w:t>Zarządzanie czasem pracy Advanced,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</w:pPr>
      <w:r>
        <w:t>Planowanie grafików,</w:t>
      </w:r>
    </w:p>
    <w:p w:rsidR="004C27F6" w:rsidRDefault="004C27F6" w:rsidP="004C27F6">
      <w:pPr>
        <w:numPr>
          <w:ilvl w:val="0"/>
          <w:numId w:val="5"/>
        </w:numPr>
        <w:spacing w:after="0"/>
        <w:jc w:val="left"/>
      </w:pPr>
      <w:r>
        <w:t>Rozliczanie czasu pracy.</w:t>
      </w:r>
    </w:p>
    <w:p w:rsidR="001B77F4" w:rsidRDefault="001B77F4" w:rsidP="001B77F4"/>
    <w:p w:rsidR="001B77F4" w:rsidRPr="001B77F4" w:rsidRDefault="001B77F4" w:rsidP="001B77F4">
      <w:pPr>
        <w:rPr>
          <w:b/>
        </w:rPr>
      </w:pPr>
      <w:r w:rsidRPr="001B77F4">
        <w:rPr>
          <w:b/>
        </w:rPr>
        <w:t xml:space="preserve">2. Wycena usługi: </w:t>
      </w:r>
    </w:p>
    <w:p w:rsidR="001B77F4" w:rsidRDefault="001B77F4" w:rsidP="00F64F23">
      <w:r>
        <w:t>W przypadku zainteresowania możliwością zrealizowania wyżej wymienionego zamówienia, prosimy o wypełnienie formularza szacowania stanowiącego załącznik nr 2. Do zrealizowania przedmiotowego zadania niezbędne jest oszacowanie jego wartości. Wstępną wycenę, dokonaną na podstawie załącznika nr 1, proszę przesłać na adres</w:t>
      </w:r>
      <w:r w:rsidR="00F64F23">
        <w:t>y</w:t>
      </w:r>
      <w:r>
        <w:t>:</w:t>
      </w:r>
      <w:r w:rsidR="00F64F23">
        <w:t xml:space="preserve"> </w:t>
      </w:r>
      <w:hyperlink r:id="rId8" w:history="1">
        <w:r w:rsidR="00F64F23" w:rsidRPr="00F64F23">
          <w:rPr>
            <w:rStyle w:val="Hipercze"/>
          </w:rPr>
          <w:t>anna.bober@nask.pl</w:t>
        </w:r>
      </w:hyperlink>
      <w:r w:rsidR="00F64F23" w:rsidRPr="00F64F23">
        <w:t xml:space="preserve">; </w:t>
      </w:r>
      <w:hyperlink r:id="rId9" w:history="1">
        <w:r w:rsidR="00F64F23" w:rsidRPr="00F64F23">
          <w:rPr>
            <w:rStyle w:val="Hipercze"/>
          </w:rPr>
          <w:t>malgorzata.mikosa@nask.pl</w:t>
        </w:r>
      </w:hyperlink>
      <w:r w:rsidR="00F64F23">
        <w:t xml:space="preserve">; </w:t>
      </w:r>
      <w:hyperlink r:id="rId10" w:history="1">
        <w:r w:rsidR="00F64F23" w:rsidRPr="00F64F23">
          <w:rPr>
            <w:rStyle w:val="Hipercze"/>
          </w:rPr>
          <w:t>marzena.jankowska@nask.pl</w:t>
        </w:r>
      </w:hyperlink>
      <w:r>
        <w:t xml:space="preserve"> lub dostarczyć do siedziby Zamawiającego ul. Kolska 12 01-045 Warszawa, do</w:t>
      </w:r>
      <w:r w:rsidR="005D313E">
        <w:t xml:space="preserve"> </w:t>
      </w:r>
      <w:r w:rsidRPr="00CC7893">
        <w:rPr>
          <w:b/>
        </w:rPr>
        <w:t>30</w:t>
      </w:r>
      <w:r w:rsidRPr="00CC7893">
        <w:rPr>
          <w:b/>
        </w:rPr>
        <w:t>.0</w:t>
      </w:r>
      <w:r w:rsidRPr="00CC7893">
        <w:rPr>
          <w:b/>
        </w:rPr>
        <w:t>8</w:t>
      </w:r>
      <w:r w:rsidRPr="00CC7893">
        <w:rPr>
          <w:b/>
        </w:rPr>
        <w:t>.2022</w:t>
      </w:r>
      <w:r>
        <w:t xml:space="preserve"> r., do godziny: 14:00.</w:t>
      </w:r>
    </w:p>
    <w:p w:rsidR="001B77F4" w:rsidRDefault="001B77F4" w:rsidP="001B77F4">
      <w:pPr>
        <w:jc w:val="left"/>
      </w:pPr>
    </w:p>
    <w:p w:rsidR="001B77F4" w:rsidRDefault="001B77F4" w:rsidP="001B77F4">
      <w:r>
        <w:t xml:space="preserve">Wszelkich dodatkowych informacji udziela: </w:t>
      </w:r>
    </w:p>
    <w:p w:rsidR="001B77F4" w:rsidRPr="004C27F6" w:rsidRDefault="001B77F4" w:rsidP="001B77F4">
      <w:pPr>
        <w:rPr>
          <w:lang w:val="en-GB"/>
        </w:rPr>
      </w:pPr>
      <w:r w:rsidRPr="004C27F6">
        <w:rPr>
          <w:lang w:val="en-GB"/>
        </w:rPr>
        <w:t xml:space="preserve">e-mail: </w:t>
      </w:r>
      <w:hyperlink r:id="rId11" w:history="1">
        <w:r w:rsidRPr="004C27F6">
          <w:rPr>
            <w:rStyle w:val="Hipercze"/>
            <w:lang w:val="en-GB"/>
          </w:rPr>
          <w:t>anna.bober@nask.pl</w:t>
        </w:r>
      </w:hyperlink>
    </w:p>
    <w:p w:rsidR="001B77F4" w:rsidRPr="004C27F6" w:rsidRDefault="001B77F4" w:rsidP="001B77F4">
      <w:pPr>
        <w:ind w:firstLine="708"/>
        <w:rPr>
          <w:lang w:val="en-GB"/>
        </w:rPr>
      </w:pPr>
      <w:hyperlink r:id="rId12" w:history="1">
        <w:r w:rsidRPr="004C27F6">
          <w:rPr>
            <w:rStyle w:val="Hipercze"/>
            <w:lang w:val="en-GB"/>
          </w:rPr>
          <w:t>malgorzata.mikosa@nask.pl</w:t>
        </w:r>
      </w:hyperlink>
    </w:p>
    <w:p w:rsidR="001B77F4" w:rsidRPr="004C27F6" w:rsidRDefault="001B77F4" w:rsidP="00F64F23">
      <w:pPr>
        <w:ind w:firstLine="708"/>
        <w:rPr>
          <w:lang w:val="en-GB"/>
        </w:rPr>
      </w:pPr>
      <w:hyperlink r:id="rId13" w:history="1">
        <w:r w:rsidRPr="004C27F6">
          <w:rPr>
            <w:rStyle w:val="Hipercze"/>
            <w:lang w:val="en-GB"/>
          </w:rPr>
          <w:t>marzena.jankowska@nask.pl</w:t>
        </w:r>
      </w:hyperlink>
    </w:p>
    <w:p w:rsidR="00F64F23" w:rsidRDefault="00F64F23" w:rsidP="001B77F4">
      <w:pPr>
        <w:spacing w:after="0"/>
        <w:rPr>
          <w:lang w:val="en-GB"/>
        </w:rPr>
      </w:pPr>
    </w:p>
    <w:p w:rsidR="001B77F4" w:rsidRDefault="001B77F4" w:rsidP="001B77F4">
      <w:pPr>
        <w:spacing w:after="0"/>
      </w:pPr>
      <w:r>
        <w:t xml:space="preserve">Przedstawione zapytanie nie stanowi oferty w myśl art. 66 Kodeksu Cywilnego, jak również nie </w:t>
      </w:r>
    </w:p>
    <w:p w:rsidR="00483103" w:rsidRPr="001B77F4" w:rsidRDefault="001B77F4" w:rsidP="001B77F4">
      <w:pPr>
        <w:spacing w:after="0"/>
      </w:pPr>
      <w:r>
        <w:t>jest ogłoszeniem w rozumieniu ustawy Prawo zamówień publicznych.</w:t>
      </w:r>
    </w:p>
    <w:sectPr w:rsidR="00483103" w:rsidRPr="001B77F4" w:rsidSect="007515B8">
      <w:footerReference w:type="default" r:id="rId14"/>
      <w:pgSz w:w="11906" w:h="16838" w:code="9"/>
      <w:pgMar w:top="992" w:right="1134" w:bottom="1985" w:left="1134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BF" w:rsidRDefault="005E35BF" w:rsidP="00C7677C">
      <w:pPr>
        <w:spacing w:after="0"/>
      </w:pPr>
      <w:r>
        <w:separator/>
      </w:r>
    </w:p>
  </w:endnote>
  <w:endnote w:type="continuationSeparator" w:id="0">
    <w:p w:rsidR="005E35BF" w:rsidRDefault="005E35BF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B2" w:rsidRDefault="00D35A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04A0BE60" wp14:editId="1B2E2C5D">
          <wp:simplePos x="0" y="0"/>
          <wp:positionH relativeFrom="rightMargin">
            <wp:posOffset>-1080135</wp:posOffset>
          </wp:positionH>
          <wp:positionV relativeFrom="page">
            <wp:posOffset>9429750</wp:posOffset>
          </wp:positionV>
          <wp:extent cx="1080000" cy="183600"/>
          <wp:effectExtent l="0" t="0" r="6350" b="698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4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27E070E4" wp14:editId="5BE6390F">
              <wp:simplePos x="0" y="0"/>
              <wp:positionH relativeFrom="margin">
                <wp:align>right</wp:align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070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46.95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" filled="f" stroked="f">
              <v:textbox inset="0,0,0,0">
                <w:txbxContent>
                  <w:p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19DEA02C" wp14:editId="5F94B212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DEA02C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" filled="f" stroked="f">
              <v:textbox inset="0,0,0,0">
                <w:txbxContent>
                  <w:p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5824D8A8" wp14:editId="71E49EB2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24D8A8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VCQ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UaZJzW32BxJB4+jJ+kNUdCh/8lZT36sefixBy85058saZnMOwV+CrZTAFZQas0jZ2N4&#10;F7PJR4q3pHGrMvs0jLHyqUXyVRbl9AaScS/3+dbvl7r5BQ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Cpx2ZUJAgAA8Q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  <w:lang w:eastAsia="pl-PL"/>
      </w:rPr>
      <w:drawing>
        <wp:anchor distT="0" distB="0" distL="114300" distR="114300" simplePos="0" relativeHeight="251476991" behindDoc="1" locked="0" layoutInCell="1" allowOverlap="1" wp14:anchorId="7941EFF3" wp14:editId="632A8697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45" name="Grafika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BF" w:rsidRDefault="005E35BF" w:rsidP="00C7677C">
      <w:pPr>
        <w:spacing w:after="0"/>
      </w:pPr>
      <w:r>
        <w:separator/>
      </w:r>
    </w:p>
  </w:footnote>
  <w:footnote w:type="continuationSeparator" w:id="0">
    <w:p w:rsidR="005E35BF" w:rsidRDefault="005E35BF" w:rsidP="00C76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214"/>
    <w:multiLevelType w:val="hybridMultilevel"/>
    <w:tmpl w:val="9BD82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53244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3C02"/>
    <w:multiLevelType w:val="hybridMultilevel"/>
    <w:tmpl w:val="C29C5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D0257C9"/>
    <w:multiLevelType w:val="multilevel"/>
    <w:tmpl w:val="DDE2C204"/>
    <w:lvl w:ilvl="0">
      <w:start w:val="1"/>
      <w:numFmt w:val="bullet"/>
      <w:pStyle w:val="Wypunktowanie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212E3B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212E3B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212E3B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212E3B" w:themeColor="accent1"/>
      </w:rPr>
    </w:lvl>
  </w:abstractNum>
  <w:abstractNum w:abstractNumId="6" w15:restartNumberingAfterBreak="0">
    <w:nsid w:val="6092042B"/>
    <w:multiLevelType w:val="hybridMultilevel"/>
    <w:tmpl w:val="1BC49B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4"/>
    <w:rsid w:val="00031875"/>
    <w:rsid w:val="00055F1B"/>
    <w:rsid w:val="0010624E"/>
    <w:rsid w:val="00157305"/>
    <w:rsid w:val="001B77F4"/>
    <w:rsid w:val="001E08D8"/>
    <w:rsid w:val="001F4D0D"/>
    <w:rsid w:val="00235D5D"/>
    <w:rsid w:val="002424D4"/>
    <w:rsid w:val="002F0D94"/>
    <w:rsid w:val="00410A7A"/>
    <w:rsid w:val="00465F29"/>
    <w:rsid w:val="00483103"/>
    <w:rsid w:val="004839E6"/>
    <w:rsid w:val="004C27F6"/>
    <w:rsid w:val="004F7362"/>
    <w:rsid w:val="00505E0A"/>
    <w:rsid w:val="0051366B"/>
    <w:rsid w:val="00560185"/>
    <w:rsid w:val="005A1E67"/>
    <w:rsid w:val="005C73CC"/>
    <w:rsid w:val="005D313E"/>
    <w:rsid w:val="005E35BF"/>
    <w:rsid w:val="00630437"/>
    <w:rsid w:val="00631967"/>
    <w:rsid w:val="0067102F"/>
    <w:rsid w:val="006761B2"/>
    <w:rsid w:val="006C2482"/>
    <w:rsid w:val="007132BB"/>
    <w:rsid w:val="00731A80"/>
    <w:rsid w:val="00735601"/>
    <w:rsid w:val="007416C9"/>
    <w:rsid w:val="007515B8"/>
    <w:rsid w:val="007C7A84"/>
    <w:rsid w:val="0081049C"/>
    <w:rsid w:val="00837FFB"/>
    <w:rsid w:val="008974E0"/>
    <w:rsid w:val="008B37B8"/>
    <w:rsid w:val="008C1BB6"/>
    <w:rsid w:val="00925658"/>
    <w:rsid w:val="009E0727"/>
    <w:rsid w:val="009F440A"/>
    <w:rsid w:val="00A05166"/>
    <w:rsid w:val="00A41F00"/>
    <w:rsid w:val="00A97FF6"/>
    <w:rsid w:val="00B818DD"/>
    <w:rsid w:val="00C048C6"/>
    <w:rsid w:val="00C1034E"/>
    <w:rsid w:val="00C33086"/>
    <w:rsid w:val="00C37C33"/>
    <w:rsid w:val="00C54006"/>
    <w:rsid w:val="00C7677C"/>
    <w:rsid w:val="00CC7893"/>
    <w:rsid w:val="00D21D46"/>
    <w:rsid w:val="00D35A07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05D74"/>
    <w:rsid w:val="00F14B99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F1D2"/>
  <w15:chartTrackingRefBased/>
  <w15:docId w15:val="{7A1E824B-3B48-4725-BD97-6F09126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aliases w:val="maz_wyliczenie,opis dzialania,K-P_odwolanie,A_wyliczenie,Akapit z listą 1,L1,Numerowanie,Akapit z listą5,Bullet Number,List Paragraph1,lp1,List Paragraph2,ISCG Numerowanie,lp11,List Paragraph11,Bullet 1,Body MS Bullet,List Paragraph,CP-U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51366B"/>
    <w:pPr>
      <w:numPr>
        <w:numId w:val="4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Bullet Number Znak,List Paragraph1 Znak,lp1 Znak,List Paragraph2 Znak,lp11 Znak"/>
    <w:link w:val="Akapitzlist"/>
    <w:uiPriority w:val="34"/>
    <w:qFormat/>
    <w:locked/>
    <w:rsid w:val="00CC7893"/>
    <w:rPr>
      <w:rFonts w:ascii="Century Gothic" w:hAnsi="Century Gothic"/>
      <w:color w:val="212E3B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ober@nask.pl" TargetMode="External"/><Relationship Id="rId13" Type="http://schemas.openxmlformats.org/officeDocument/2006/relationships/hyperlink" Target="mailto:marzena.jankowska@n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mikosa@na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ober@n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zena.jankowska@n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ikosa@nas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ob\Downloads\NASK_ZEW_PapierFirmowy_Korespondencj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54A6-0A34-4891-B2BC-22F10F7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 (1)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 Anna</dc:creator>
  <cp:keywords/>
  <dc:description/>
  <cp:lastModifiedBy>Bober Anna</cp:lastModifiedBy>
  <cp:revision>2</cp:revision>
  <cp:lastPrinted>2022-01-12T14:51:00Z</cp:lastPrinted>
  <dcterms:created xsi:type="dcterms:W3CDTF">2022-08-23T07:11:00Z</dcterms:created>
  <dcterms:modified xsi:type="dcterms:W3CDTF">2022-08-23T07:11:00Z</dcterms:modified>
</cp:coreProperties>
</file>