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8EA80" w14:textId="77777777" w:rsidR="00262A66" w:rsidRDefault="00262A66" w:rsidP="00262A66">
      <w:pPr>
        <w:spacing w:after="160" w:line="259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TOM II SIWZ</w:t>
      </w:r>
    </w:p>
    <w:p w14:paraId="678455E3" w14:textId="2D12B9A6" w:rsidR="00262A66" w:rsidRPr="00262A66" w:rsidRDefault="00262A66" w:rsidP="00262A66">
      <w:pPr>
        <w:spacing w:after="160" w:line="259" w:lineRule="auto"/>
        <w:jc w:val="center"/>
        <w:rPr>
          <w:rFonts w:cstheme="minorHAnsi"/>
          <w:b/>
          <w:sz w:val="24"/>
        </w:rPr>
      </w:pPr>
      <w:r w:rsidRPr="00262A66">
        <w:rPr>
          <w:rFonts w:cstheme="minorHAnsi"/>
          <w:b/>
          <w:sz w:val="24"/>
        </w:rPr>
        <w:t>OPIS PRZEDMIOTU ZAMÓWIENIA</w:t>
      </w:r>
    </w:p>
    <w:p w14:paraId="1BBAE6CF" w14:textId="77777777" w:rsidR="006F5DD0" w:rsidRPr="00BC0E60" w:rsidRDefault="006F5DD0" w:rsidP="00262A66">
      <w:pPr>
        <w:tabs>
          <w:tab w:val="left" w:pos="6382"/>
        </w:tabs>
        <w:spacing w:after="0" w:line="240" w:lineRule="auto"/>
        <w:rPr>
          <w:rFonts w:cstheme="minorHAnsi"/>
          <w:b/>
          <w:u w:val="single"/>
        </w:rPr>
      </w:pPr>
      <w:r w:rsidRPr="00BC0E60">
        <w:rPr>
          <w:rFonts w:cstheme="minorHAnsi"/>
          <w:b/>
          <w:u w:val="single"/>
        </w:rPr>
        <w:t xml:space="preserve">Część nr 1 </w:t>
      </w:r>
    </w:p>
    <w:p w14:paraId="53E50102" w14:textId="77777777" w:rsidR="006F5DD0" w:rsidRDefault="006F5DD0" w:rsidP="00262A66">
      <w:pPr>
        <w:tabs>
          <w:tab w:val="left" w:pos="6382"/>
        </w:tabs>
        <w:spacing w:after="0" w:line="240" w:lineRule="auto"/>
        <w:rPr>
          <w:rFonts w:cstheme="minorHAnsi"/>
        </w:rPr>
      </w:pPr>
    </w:p>
    <w:p w14:paraId="5A598DAB" w14:textId="08C931DE" w:rsidR="000E057E" w:rsidRPr="00B862B9" w:rsidRDefault="00531833" w:rsidP="00262A66">
      <w:pPr>
        <w:tabs>
          <w:tab w:val="left" w:pos="6382"/>
        </w:tabs>
        <w:spacing w:after="0" w:line="240" w:lineRule="auto"/>
      </w:pPr>
      <w:r>
        <w:rPr>
          <w:rFonts w:cstheme="minorHAnsi"/>
          <w:b/>
        </w:rPr>
        <w:t xml:space="preserve">Wspólny słownik zamówień </w:t>
      </w:r>
      <w:r w:rsidR="009165F4">
        <w:rPr>
          <w:rFonts w:cstheme="minorHAnsi"/>
          <w:b/>
        </w:rPr>
        <w:t>(</w:t>
      </w:r>
      <w:r w:rsidR="00262A66" w:rsidRPr="00262A66">
        <w:rPr>
          <w:rFonts w:cstheme="minorHAnsi"/>
          <w:b/>
        </w:rPr>
        <w:t>CPV</w:t>
      </w:r>
      <w:r w:rsidR="009165F4">
        <w:rPr>
          <w:rFonts w:cstheme="minorHAnsi"/>
          <w:b/>
        </w:rPr>
        <w:t>)</w:t>
      </w:r>
      <w:r w:rsidR="00262A66" w:rsidRPr="00262A66">
        <w:rPr>
          <w:rFonts w:cstheme="minorHAnsi"/>
          <w:b/>
        </w:rPr>
        <w:t>:</w:t>
      </w:r>
      <w:r w:rsidR="00262A66">
        <w:rPr>
          <w:rFonts w:cstheme="minorHAnsi"/>
          <w:b/>
        </w:rPr>
        <w:t xml:space="preserve"> </w:t>
      </w:r>
      <w:r w:rsidR="000E057E" w:rsidRPr="00B862B9">
        <w:tab/>
      </w:r>
    </w:p>
    <w:p w14:paraId="10F9DB7D" w14:textId="3A55135E" w:rsidR="000B4212" w:rsidRPr="00FF001D" w:rsidRDefault="000B4212" w:rsidP="00CE2EFD">
      <w:pPr>
        <w:pStyle w:val="Akapitzlist"/>
        <w:numPr>
          <w:ilvl w:val="0"/>
          <w:numId w:val="24"/>
        </w:numPr>
        <w:autoSpaceDE w:val="0"/>
        <w:autoSpaceDN w:val="0"/>
        <w:spacing w:after="0"/>
        <w:ind w:left="426"/>
      </w:pPr>
      <w:r>
        <w:t>48820000-2 Serwery</w:t>
      </w:r>
    </w:p>
    <w:p w14:paraId="1CB75A76" w14:textId="0153D1BC" w:rsidR="000B4212" w:rsidRDefault="000B4212" w:rsidP="00CE2EFD">
      <w:pPr>
        <w:pStyle w:val="Akapitzlist"/>
        <w:numPr>
          <w:ilvl w:val="0"/>
          <w:numId w:val="24"/>
        </w:numPr>
        <w:spacing w:after="0" w:line="240" w:lineRule="auto"/>
        <w:ind w:left="426"/>
      </w:pPr>
      <w:r>
        <w:t>48800000-6 Systemy i serwery informacyjne</w:t>
      </w:r>
    </w:p>
    <w:p w14:paraId="00F8C1B7" w14:textId="77777777" w:rsidR="000E057E" w:rsidRDefault="000E057E" w:rsidP="000E057E">
      <w:pPr>
        <w:pStyle w:val="Akapitzlist"/>
        <w:spacing w:after="0" w:line="240" w:lineRule="auto"/>
        <w:ind w:left="426"/>
        <w:jc w:val="both"/>
        <w:rPr>
          <w:rFonts w:cstheme="minorHAnsi"/>
          <w:b/>
        </w:rPr>
      </w:pPr>
    </w:p>
    <w:p w14:paraId="622C28E0" w14:textId="77777777" w:rsidR="000E057E" w:rsidRPr="00D52EC6" w:rsidRDefault="000E057E" w:rsidP="000E057E">
      <w:pPr>
        <w:pStyle w:val="Nagwek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D52EC6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Wstęp</w:t>
      </w:r>
    </w:p>
    <w:p w14:paraId="5328F756" w14:textId="77777777" w:rsidR="000E057E" w:rsidRPr="00371069" w:rsidRDefault="000E057E" w:rsidP="000E057E">
      <w:pPr>
        <w:spacing w:after="0" w:line="240" w:lineRule="auto"/>
        <w:rPr>
          <w:rFonts w:cstheme="minorHAnsi"/>
        </w:rPr>
      </w:pPr>
    </w:p>
    <w:p w14:paraId="65A57B00" w14:textId="055FF0AD" w:rsidR="000E057E" w:rsidRPr="00371069" w:rsidRDefault="000E057E" w:rsidP="000E057E">
      <w:pPr>
        <w:spacing w:after="0" w:line="240" w:lineRule="auto"/>
        <w:rPr>
          <w:rFonts w:cstheme="minorHAnsi"/>
        </w:rPr>
      </w:pPr>
      <w:r w:rsidRPr="00371069">
        <w:rPr>
          <w:rFonts w:cstheme="minorHAnsi"/>
        </w:rPr>
        <w:t>Niniejszy dokument stanowi szczegółowy opis przedmiotu zamówienia na zakup sprzętu.</w:t>
      </w:r>
      <w:r w:rsidR="00D2685D">
        <w:rPr>
          <w:rFonts w:cstheme="minorHAnsi"/>
        </w:rPr>
        <w:br/>
      </w:r>
    </w:p>
    <w:p w14:paraId="186CAA43" w14:textId="77777777" w:rsidR="000E057E" w:rsidRPr="00371069" w:rsidRDefault="000E057E" w:rsidP="000E057E">
      <w:pPr>
        <w:pStyle w:val="Nagwek2"/>
        <w:numPr>
          <w:ilvl w:val="1"/>
          <w:numId w:val="2"/>
        </w:numPr>
        <w:spacing w:before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71069">
        <w:rPr>
          <w:rFonts w:asciiTheme="minorHAnsi" w:hAnsiTheme="minorHAnsi" w:cstheme="minorHAnsi"/>
          <w:b/>
          <w:color w:val="auto"/>
          <w:sz w:val="22"/>
          <w:szCs w:val="22"/>
        </w:rPr>
        <w:t>Zastosowane skróty i pojęcia: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5"/>
        <w:gridCol w:w="6367"/>
      </w:tblGrid>
      <w:tr w:rsidR="000E057E" w:rsidRPr="00B862B9" w14:paraId="375C9A3C" w14:textId="77777777" w:rsidTr="00343898">
        <w:tc>
          <w:tcPr>
            <w:tcW w:w="2695" w:type="dxa"/>
            <w:shd w:val="clear" w:color="auto" w:fill="D9D9D9" w:themeFill="background1" w:themeFillShade="D9"/>
          </w:tcPr>
          <w:p w14:paraId="1BCC781A" w14:textId="77777777" w:rsidR="000E057E" w:rsidRPr="00371069" w:rsidRDefault="000E057E" w:rsidP="009E1FCA">
            <w:pPr>
              <w:jc w:val="center"/>
              <w:rPr>
                <w:rFonts w:cstheme="minorHAnsi"/>
                <w:b/>
              </w:rPr>
            </w:pPr>
            <w:r w:rsidRPr="00371069">
              <w:rPr>
                <w:rFonts w:cstheme="minorHAnsi"/>
                <w:b/>
              </w:rPr>
              <w:t>Skrót/pojęcie</w:t>
            </w:r>
          </w:p>
        </w:tc>
        <w:tc>
          <w:tcPr>
            <w:tcW w:w="6367" w:type="dxa"/>
            <w:shd w:val="clear" w:color="auto" w:fill="D9D9D9" w:themeFill="background1" w:themeFillShade="D9"/>
          </w:tcPr>
          <w:p w14:paraId="0E2833EC" w14:textId="77777777" w:rsidR="000E057E" w:rsidRPr="00371069" w:rsidRDefault="000E057E" w:rsidP="009E1FCA">
            <w:pPr>
              <w:jc w:val="center"/>
              <w:rPr>
                <w:rFonts w:cstheme="minorHAnsi"/>
                <w:b/>
              </w:rPr>
            </w:pPr>
            <w:r w:rsidRPr="00371069">
              <w:rPr>
                <w:rFonts w:cstheme="minorHAnsi"/>
                <w:b/>
              </w:rPr>
              <w:t>Opis skrótu/pojęcia</w:t>
            </w:r>
          </w:p>
        </w:tc>
      </w:tr>
      <w:tr w:rsidR="000E057E" w:rsidRPr="00B862B9" w14:paraId="1774DA22" w14:textId="77777777" w:rsidTr="00343898">
        <w:tc>
          <w:tcPr>
            <w:tcW w:w="2695" w:type="dxa"/>
          </w:tcPr>
          <w:p w14:paraId="7695BDCB" w14:textId="77777777" w:rsidR="000E057E" w:rsidRPr="00877335" w:rsidRDefault="000E057E" w:rsidP="009E1FCA">
            <w:pPr>
              <w:rPr>
                <w:rFonts w:cstheme="minorHAnsi"/>
                <w:b/>
              </w:rPr>
            </w:pPr>
            <w:r w:rsidRPr="00877335">
              <w:rPr>
                <w:rFonts w:cstheme="minorHAnsi"/>
                <w:b/>
              </w:rPr>
              <w:t>Dokumentacja</w:t>
            </w:r>
          </w:p>
        </w:tc>
        <w:tc>
          <w:tcPr>
            <w:tcW w:w="6367" w:type="dxa"/>
          </w:tcPr>
          <w:p w14:paraId="699F1851" w14:textId="622EF078" w:rsidR="000E057E" w:rsidRPr="00877335" w:rsidRDefault="006F5DD0" w:rsidP="006F5DD0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877335">
              <w:rPr>
                <w:rFonts w:cstheme="minorHAnsi"/>
              </w:rPr>
              <w:t xml:space="preserve">znacza </w:t>
            </w:r>
            <w:r w:rsidR="000E057E" w:rsidRPr="00877335">
              <w:rPr>
                <w:rFonts w:cstheme="minorHAnsi"/>
              </w:rPr>
              <w:t xml:space="preserve">dokumenty, specyfikacje i instrukcje </w:t>
            </w:r>
            <w:r w:rsidRPr="00877335">
              <w:rPr>
                <w:rFonts w:cstheme="minorHAnsi"/>
              </w:rPr>
              <w:t>do</w:t>
            </w:r>
            <w:r>
              <w:rPr>
                <w:rFonts w:cstheme="minorHAnsi"/>
              </w:rPr>
              <w:t>starczane</w:t>
            </w:r>
            <w:r w:rsidRPr="00877335">
              <w:rPr>
                <w:rFonts w:cstheme="minorHAnsi"/>
              </w:rPr>
              <w:t xml:space="preserve"> </w:t>
            </w:r>
            <w:r w:rsidR="000E057E" w:rsidRPr="00877335">
              <w:rPr>
                <w:rFonts w:cstheme="minorHAnsi"/>
              </w:rPr>
              <w:t xml:space="preserve">przez </w:t>
            </w:r>
            <w:r>
              <w:rPr>
                <w:rFonts w:cstheme="minorHAnsi"/>
              </w:rPr>
              <w:t>Wykonawcę zgodnie z wymaganiami niniejszego SIWZ. M</w:t>
            </w:r>
            <w:r w:rsidR="000E057E" w:rsidRPr="00877335">
              <w:rPr>
                <w:rFonts w:cstheme="minorHAnsi"/>
              </w:rPr>
              <w:t xml:space="preserve">ogą to być instrukcje/dokumenty w postaci elektronicznej (PDF): </w:t>
            </w:r>
            <w:r>
              <w:rPr>
                <w:rFonts w:cstheme="minorHAnsi"/>
              </w:rPr>
              <w:t xml:space="preserve">dotyczące </w:t>
            </w:r>
            <w:r w:rsidR="000E057E" w:rsidRPr="00877335">
              <w:rPr>
                <w:rFonts w:cstheme="minorHAnsi"/>
              </w:rPr>
              <w:t>montażu sprzętu, obsługi i eksploatacji sprzętu, konserwacji sprzętu i inne, jeśli występują</w:t>
            </w:r>
            <w:r>
              <w:rPr>
                <w:rFonts w:cstheme="minorHAnsi"/>
              </w:rPr>
              <w:t>.</w:t>
            </w:r>
          </w:p>
        </w:tc>
      </w:tr>
      <w:tr w:rsidR="00343898" w:rsidRPr="00B862B9" w14:paraId="2C87E5B9" w14:textId="77777777" w:rsidTr="00343898">
        <w:tc>
          <w:tcPr>
            <w:tcW w:w="2695" w:type="dxa"/>
          </w:tcPr>
          <w:p w14:paraId="62613E9D" w14:textId="24E01C15" w:rsidR="00343898" w:rsidRPr="00877335" w:rsidRDefault="00343898" w:rsidP="00343898">
            <w:pPr>
              <w:rPr>
                <w:rFonts w:cstheme="minorHAnsi"/>
                <w:b/>
              </w:rPr>
            </w:pPr>
            <w:r w:rsidRPr="00877335">
              <w:rPr>
                <w:rFonts w:cstheme="minorHAnsi"/>
                <w:b/>
              </w:rPr>
              <w:t>Oprogramowanie</w:t>
            </w:r>
          </w:p>
        </w:tc>
        <w:tc>
          <w:tcPr>
            <w:tcW w:w="6367" w:type="dxa"/>
          </w:tcPr>
          <w:p w14:paraId="57605C6E" w14:textId="6104BC62" w:rsidR="00343898" w:rsidRDefault="00343898" w:rsidP="00343898">
            <w:pPr>
              <w:spacing w:after="0"/>
              <w:jc w:val="both"/>
              <w:rPr>
                <w:rFonts w:cstheme="minorHAnsi"/>
              </w:rPr>
            </w:pPr>
            <w:r w:rsidRPr="00877335">
              <w:rPr>
                <w:rFonts w:cstheme="minorHAnsi"/>
              </w:rPr>
              <w:t>Oznacza oprogramowanie</w:t>
            </w:r>
            <w:r w:rsidR="00AD0F6B">
              <w:rPr>
                <w:rFonts w:cstheme="minorHAnsi"/>
              </w:rPr>
              <w:t>, o którym mowa</w:t>
            </w:r>
            <w:r w:rsidR="00412A67" w:rsidRPr="004B0063">
              <w:rPr>
                <w:rFonts w:cstheme="minorHAnsi"/>
              </w:rPr>
              <w:t xml:space="preserve"> tabeli w pkt. 1.3</w:t>
            </w:r>
            <w:r w:rsidR="00412A67">
              <w:rPr>
                <w:rFonts w:cstheme="minorHAnsi"/>
              </w:rPr>
              <w:t xml:space="preserve"> (poz. 3)</w:t>
            </w:r>
            <w:r w:rsidR="00412A67" w:rsidRPr="004B0063">
              <w:rPr>
                <w:rFonts w:cstheme="minorHAnsi"/>
              </w:rPr>
              <w:t xml:space="preserve"> </w:t>
            </w:r>
            <w:r w:rsidRPr="00877335">
              <w:rPr>
                <w:rFonts w:cstheme="minorHAnsi"/>
              </w:rPr>
              <w:t xml:space="preserve"> stanowiące przedmiot umowy, które może być wykorzystywane przez Zamawiającego na warunkach udzielonej mu licencji ustanowionej przez twórcę Oprogramowania.</w:t>
            </w:r>
          </w:p>
          <w:p w14:paraId="47ABFFFA" w14:textId="26C6C267" w:rsidR="00B549AD" w:rsidRPr="00877335" w:rsidRDefault="00B549AD" w:rsidP="00343898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Wymagania minimalne odnośnie treści licencji na Oprogramowanie zawarte zostały poniżej, w szczególności w punkcie 4 </w:t>
            </w:r>
            <w:r w:rsidRPr="006D20BC">
              <w:rPr>
                <w:rFonts w:cstheme="minorHAnsi"/>
                <w:i/>
              </w:rPr>
              <w:t xml:space="preserve">Zestawienie minimalnych parametrów oprogramowania </w:t>
            </w:r>
            <w:proofErr w:type="spellStart"/>
            <w:r w:rsidRPr="006D20BC">
              <w:rPr>
                <w:rFonts w:cstheme="minorHAnsi"/>
                <w:i/>
              </w:rPr>
              <w:t>wirtualizacyjnego</w:t>
            </w:r>
            <w:proofErr w:type="spellEnd"/>
          </w:p>
        </w:tc>
      </w:tr>
      <w:tr w:rsidR="000E057E" w:rsidRPr="00B862B9" w14:paraId="66C809C3" w14:textId="77777777" w:rsidTr="00343898">
        <w:tc>
          <w:tcPr>
            <w:tcW w:w="2695" w:type="dxa"/>
          </w:tcPr>
          <w:p w14:paraId="78E103BE" w14:textId="77777777" w:rsidR="000E057E" w:rsidRPr="004B0063" w:rsidRDefault="000E057E" w:rsidP="009E1FCA">
            <w:pPr>
              <w:rPr>
                <w:rFonts w:cstheme="minorHAnsi"/>
                <w:b/>
              </w:rPr>
            </w:pPr>
            <w:r w:rsidRPr="004B0063">
              <w:rPr>
                <w:rFonts w:cstheme="minorHAnsi"/>
                <w:b/>
              </w:rPr>
              <w:t>Sprzęt</w:t>
            </w:r>
          </w:p>
        </w:tc>
        <w:tc>
          <w:tcPr>
            <w:tcW w:w="6367" w:type="dxa"/>
          </w:tcPr>
          <w:p w14:paraId="6B599578" w14:textId="66620BF4" w:rsidR="000E057E" w:rsidRPr="004B0063" w:rsidRDefault="00BC669B" w:rsidP="00C20738">
            <w:pPr>
              <w:spacing w:after="0"/>
              <w:rPr>
                <w:rFonts w:cstheme="minorHAnsi"/>
              </w:rPr>
            </w:pPr>
            <w:r w:rsidRPr="004B0063">
              <w:rPr>
                <w:rFonts w:cstheme="minorHAnsi"/>
              </w:rPr>
              <w:t>Oznacza sprzęt wymieniony w tabeli w pkt. 1.3</w:t>
            </w:r>
            <w:r w:rsidR="00412A67">
              <w:rPr>
                <w:rFonts w:cstheme="minorHAnsi"/>
              </w:rPr>
              <w:t xml:space="preserve"> (poz. 1-2)</w:t>
            </w:r>
            <w:r w:rsidRPr="004B0063">
              <w:rPr>
                <w:rFonts w:cstheme="minorHAnsi"/>
              </w:rPr>
              <w:t xml:space="preserve"> stanowiąc</w:t>
            </w:r>
            <w:r w:rsidR="00412A67">
              <w:rPr>
                <w:rFonts w:cstheme="minorHAnsi"/>
              </w:rPr>
              <w:t>y</w:t>
            </w:r>
            <w:r w:rsidRPr="004B0063">
              <w:rPr>
                <w:rFonts w:cstheme="minorHAnsi"/>
              </w:rPr>
              <w:t xml:space="preserve"> przedmiot umowy.</w:t>
            </w:r>
          </w:p>
        </w:tc>
      </w:tr>
    </w:tbl>
    <w:p w14:paraId="232B70B5" w14:textId="77777777" w:rsidR="000E057E" w:rsidRPr="00371069" w:rsidRDefault="000E057E" w:rsidP="000E057E">
      <w:pPr>
        <w:spacing w:after="0" w:line="240" w:lineRule="auto"/>
        <w:rPr>
          <w:rFonts w:cstheme="minorHAnsi"/>
        </w:rPr>
      </w:pPr>
    </w:p>
    <w:p w14:paraId="548F94B0" w14:textId="77777777" w:rsidR="000E057E" w:rsidRPr="00371069" w:rsidRDefault="000E057E" w:rsidP="000E057E">
      <w:pPr>
        <w:pStyle w:val="Nagwek2"/>
        <w:numPr>
          <w:ilvl w:val="1"/>
          <w:numId w:val="2"/>
        </w:numPr>
        <w:spacing w:before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71069">
        <w:rPr>
          <w:rFonts w:asciiTheme="minorHAnsi" w:hAnsiTheme="minorHAnsi" w:cstheme="minorHAnsi"/>
          <w:b/>
          <w:color w:val="auto"/>
          <w:sz w:val="22"/>
          <w:szCs w:val="22"/>
        </w:rPr>
        <w:t>Przedmiot zamówienia</w:t>
      </w:r>
    </w:p>
    <w:p w14:paraId="234801F9" w14:textId="77777777" w:rsidR="000E057E" w:rsidRPr="00371069" w:rsidRDefault="000E057E" w:rsidP="000E057E">
      <w:pPr>
        <w:spacing w:after="0" w:line="240" w:lineRule="auto"/>
        <w:rPr>
          <w:rFonts w:cstheme="minorHAnsi"/>
        </w:rPr>
      </w:pPr>
      <w:r w:rsidRPr="00371069">
        <w:rPr>
          <w:rFonts w:cstheme="minorHAnsi"/>
        </w:rPr>
        <w:t>Przedmiotem zamówienia jest:</w:t>
      </w:r>
    </w:p>
    <w:p w14:paraId="1C8085BA" w14:textId="3DCC1A90" w:rsidR="000E057E" w:rsidRPr="00371069" w:rsidRDefault="0015154B" w:rsidP="000E057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dostawa</w:t>
      </w:r>
      <w:r w:rsidR="000E057E">
        <w:rPr>
          <w:rFonts w:cstheme="minorHAnsi"/>
        </w:rPr>
        <w:t xml:space="preserve"> f</w:t>
      </w:r>
      <w:r w:rsidR="000E057E" w:rsidRPr="00371069">
        <w:rPr>
          <w:rFonts w:cstheme="minorHAnsi"/>
        </w:rPr>
        <w:t>abrycznie nowego Sprzętu;</w:t>
      </w:r>
    </w:p>
    <w:p w14:paraId="0996E300" w14:textId="77777777" w:rsidR="000E057E" w:rsidRPr="00371069" w:rsidRDefault="000E057E" w:rsidP="000E057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71069">
        <w:rPr>
          <w:rFonts w:cstheme="minorHAnsi"/>
        </w:rPr>
        <w:t>udzielenie przez Wykonawcę gwarancji i zapewnienie w jej ramach serwisu gwarancyjnego i wsparcia technicznego na dostarczony Sprzęt;</w:t>
      </w:r>
    </w:p>
    <w:p w14:paraId="0A09B0EC" w14:textId="77777777" w:rsidR="0015154B" w:rsidRDefault="000E057E" w:rsidP="000E057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371069">
        <w:rPr>
          <w:rFonts w:cstheme="minorHAnsi"/>
        </w:rPr>
        <w:t>dostarczenie przez Wykonawcę Dokumentacji dostarczonego Sprzętu</w:t>
      </w:r>
      <w:r w:rsidR="0015154B">
        <w:rPr>
          <w:rFonts w:cstheme="minorHAnsi"/>
        </w:rPr>
        <w:t>,</w:t>
      </w:r>
    </w:p>
    <w:p w14:paraId="7C8F33D7" w14:textId="4742399D" w:rsidR="000E057E" w:rsidRDefault="00B147FB" w:rsidP="000E057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dostawa Oprogramowania i zapewnienie możliwości korzystania przez Zamawiającego z Oprogramowania na warunkach licencyjnych mających zastosowanie do Oprogramowania</w:t>
      </w:r>
      <w:r w:rsidR="008D77AB">
        <w:rPr>
          <w:rFonts w:cstheme="minorHAnsi"/>
        </w:rPr>
        <w:t xml:space="preserve"> </w:t>
      </w:r>
      <w:r w:rsidR="00FB39F5">
        <w:rPr>
          <w:rFonts w:cstheme="minorHAnsi"/>
        </w:rPr>
        <w:t>oraz</w:t>
      </w:r>
      <w:r w:rsidR="008819F6">
        <w:rPr>
          <w:rFonts w:cstheme="minorHAnsi"/>
        </w:rPr>
        <w:t xml:space="preserve"> </w:t>
      </w:r>
      <w:r w:rsidR="00FB39F5">
        <w:rPr>
          <w:rFonts w:cstheme="minorHAnsi"/>
        </w:rPr>
        <w:t xml:space="preserve">wsparcie </w:t>
      </w:r>
      <w:r w:rsidR="008819F6">
        <w:rPr>
          <w:rFonts w:cstheme="minorHAnsi"/>
        </w:rPr>
        <w:t>techniczne Oprogramowania</w:t>
      </w:r>
      <w:r w:rsidR="000E057E" w:rsidRPr="00371069">
        <w:rPr>
          <w:rFonts w:cstheme="minorHAnsi"/>
        </w:rPr>
        <w:t>.</w:t>
      </w:r>
    </w:p>
    <w:p w14:paraId="1CC4ABD4" w14:textId="41D876F8" w:rsidR="000E057E" w:rsidRPr="00371069" w:rsidRDefault="000E057E" w:rsidP="000E057E">
      <w:pPr>
        <w:spacing w:after="0" w:line="240" w:lineRule="auto"/>
        <w:rPr>
          <w:rFonts w:eastAsiaTheme="majorEastAsia" w:cstheme="minorHAnsi"/>
          <w:b/>
        </w:rPr>
      </w:pPr>
    </w:p>
    <w:p w14:paraId="0F259453" w14:textId="1388A0A0" w:rsidR="0071416C" w:rsidRPr="0071416C" w:rsidRDefault="000E057E" w:rsidP="0071416C">
      <w:pPr>
        <w:pStyle w:val="Nagwek2"/>
        <w:numPr>
          <w:ilvl w:val="1"/>
          <w:numId w:val="2"/>
        </w:numPr>
        <w:spacing w:before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71069">
        <w:rPr>
          <w:rFonts w:asciiTheme="minorHAnsi" w:hAnsiTheme="minorHAnsi" w:cstheme="minorHAnsi"/>
          <w:b/>
          <w:color w:val="auto"/>
          <w:sz w:val="22"/>
          <w:szCs w:val="22"/>
        </w:rPr>
        <w:t>Termin realizacji zamówienia oraz liczba dostarczanego sprzętu</w:t>
      </w:r>
    </w:p>
    <w:p w14:paraId="74FC6932" w14:textId="29E06458" w:rsidR="000E057E" w:rsidRDefault="000E057E" w:rsidP="000E057E">
      <w:pPr>
        <w:pStyle w:val="Tekstpodstawowy2"/>
        <w:spacing w:before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71069">
        <w:rPr>
          <w:rFonts w:asciiTheme="minorHAnsi" w:hAnsiTheme="minorHAnsi" w:cstheme="minorHAnsi"/>
          <w:b w:val="0"/>
          <w:bCs w:val="0"/>
          <w:sz w:val="22"/>
          <w:szCs w:val="22"/>
        </w:rPr>
        <w:t>Zamawiający wymaga, aby dostawa sprzętu, o którym mowa w pkt 1.2</w:t>
      </w:r>
      <w:r w:rsidRPr="00B862B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371069">
        <w:rPr>
          <w:rFonts w:asciiTheme="minorHAnsi" w:hAnsiTheme="minorHAnsi" w:cstheme="minorHAnsi"/>
          <w:b w:val="0"/>
          <w:bCs w:val="0"/>
          <w:sz w:val="22"/>
          <w:szCs w:val="22"/>
        </w:rPr>
        <w:t>do Zamawiającego nastąpiła w terminach określonych w poniższej tabeli:</w:t>
      </w:r>
    </w:p>
    <w:p w14:paraId="20765139" w14:textId="7616B598" w:rsidR="0023650B" w:rsidRDefault="0023650B" w:rsidP="000E057E">
      <w:pPr>
        <w:pStyle w:val="Tekstpodstawowy2"/>
        <w:spacing w:before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04189C5" w14:textId="4D4F26A7" w:rsidR="0023650B" w:rsidRDefault="0023650B" w:rsidP="000E057E">
      <w:pPr>
        <w:pStyle w:val="Tekstpodstawowy2"/>
        <w:spacing w:before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08AB792" w14:textId="14B15341" w:rsidR="0023650B" w:rsidRDefault="0023650B" w:rsidP="000E057E">
      <w:pPr>
        <w:pStyle w:val="Tekstpodstawowy2"/>
        <w:spacing w:before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1D397C9" w14:textId="77777777" w:rsidR="0023650B" w:rsidRPr="00371069" w:rsidRDefault="0023650B" w:rsidP="000E057E">
      <w:pPr>
        <w:pStyle w:val="Tekstpodstawowy2"/>
        <w:spacing w:before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3929"/>
        <w:gridCol w:w="2194"/>
        <w:gridCol w:w="2137"/>
      </w:tblGrid>
      <w:tr w:rsidR="000E057E" w:rsidRPr="00B862B9" w14:paraId="7E12B03C" w14:textId="77777777" w:rsidTr="004B0904">
        <w:trPr>
          <w:trHeight w:val="1295"/>
          <w:jc w:val="center"/>
        </w:trPr>
        <w:tc>
          <w:tcPr>
            <w:tcW w:w="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CA551" w14:textId="77777777" w:rsidR="000E057E" w:rsidRPr="00371069" w:rsidRDefault="000E057E" w:rsidP="009E1FCA">
            <w:pPr>
              <w:ind w:right="316"/>
              <w:jc w:val="center"/>
              <w:rPr>
                <w:rFonts w:cstheme="minorHAnsi"/>
                <w:b/>
              </w:rPr>
            </w:pPr>
            <w:r w:rsidRPr="00371069">
              <w:rPr>
                <w:rFonts w:cstheme="minorHAnsi"/>
                <w:b/>
              </w:rPr>
              <w:t>Lp.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EDB89" w14:textId="77777777" w:rsidR="000E057E" w:rsidRPr="00371069" w:rsidRDefault="000E057E" w:rsidP="009E1FCA">
            <w:pPr>
              <w:ind w:right="316"/>
              <w:jc w:val="center"/>
              <w:rPr>
                <w:rFonts w:cstheme="minorHAnsi"/>
                <w:b/>
              </w:rPr>
            </w:pPr>
            <w:r w:rsidRPr="00371069">
              <w:rPr>
                <w:rFonts w:cstheme="minorHAnsi"/>
                <w:b/>
              </w:rPr>
              <w:t>Przedmiot dostawy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8D8B6" w14:textId="77777777" w:rsidR="000E057E" w:rsidRPr="00371069" w:rsidRDefault="000E057E" w:rsidP="009E1FCA">
            <w:pPr>
              <w:ind w:right="316"/>
              <w:jc w:val="center"/>
              <w:rPr>
                <w:rFonts w:cstheme="minorHAnsi"/>
                <w:b/>
              </w:rPr>
            </w:pPr>
            <w:r w:rsidRPr="00371069">
              <w:rPr>
                <w:rFonts w:cstheme="minorHAnsi"/>
                <w:b/>
              </w:rPr>
              <w:t xml:space="preserve">Liczba dostarczanego: Sprzętu/ Oprogramowania 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E6B99" w14:textId="77777777" w:rsidR="000E057E" w:rsidRPr="00371069" w:rsidRDefault="000E057E" w:rsidP="009E1FCA">
            <w:pPr>
              <w:ind w:right="316"/>
              <w:jc w:val="center"/>
              <w:rPr>
                <w:rFonts w:cstheme="minorHAnsi"/>
                <w:b/>
              </w:rPr>
            </w:pPr>
            <w:r w:rsidRPr="00371069">
              <w:rPr>
                <w:rFonts w:cstheme="minorHAnsi"/>
                <w:b/>
              </w:rPr>
              <w:t>Termin dostawy Sprzętu/ Oprogramowania</w:t>
            </w:r>
          </w:p>
        </w:tc>
      </w:tr>
      <w:tr w:rsidR="000E057E" w:rsidRPr="00B862B9" w14:paraId="5FDFE3EF" w14:textId="77777777" w:rsidTr="004B0904">
        <w:trPr>
          <w:trHeight w:val="280"/>
          <w:jc w:val="center"/>
        </w:trPr>
        <w:tc>
          <w:tcPr>
            <w:tcW w:w="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FDDF7" w14:textId="77777777" w:rsidR="000E057E" w:rsidRPr="00371069" w:rsidRDefault="000E057E" w:rsidP="009E1FCA">
            <w:pPr>
              <w:ind w:right="316"/>
              <w:jc w:val="center"/>
              <w:rPr>
                <w:rFonts w:cstheme="minorHAnsi"/>
                <w:b/>
              </w:rPr>
            </w:pPr>
            <w:r w:rsidRPr="00371069">
              <w:rPr>
                <w:rFonts w:cstheme="minorHAnsi"/>
                <w:b/>
              </w:rPr>
              <w:t>1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3236C" w14:textId="77777777" w:rsidR="000E057E" w:rsidRPr="00371069" w:rsidRDefault="000E057E" w:rsidP="009E1FCA">
            <w:pPr>
              <w:ind w:right="316"/>
              <w:jc w:val="center"/>
              <w:rPr>
                <w:rFonts w:cstheme="minorHAnsi"/>
                <w:b/>
              </w:rPr>
            </w:pPr>
            <w:r w:rsidRPr="00371069">
              <w:rPr>
                <w:rFonts w:cstheme="minorHAnsi"/>
                <w:b/>
              </w:rPr>
              <w:t>2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2C624" w14:textId="77777777" w:rsidR="000E057E" w:rsidRPr="00371069" w:rsidRDefault="000E057E" w:rsidP="009E1FCA">
            <w:pPr>
              <w:ind w:right="316"/>
              <w:jc w:val="center"/>
              <w:rPr>
                <w:rFonts w:cstheme="minorHAnsi"/>
                <w:b/>
              </w:rPr>
            </w:pPr>
            <w:r w:rsidRPr="00371069">
              <w:rPr>
                <w:rFonts w:cstheme="minorHAnsi"/>
                <w:b/>
              </w:rPr>
              <w:t>3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8401A" w14:textId="77777777" w:rsidR="000E057E" w:rsidRPr="00371069" w:rsidRDefault="000E057E" w:rsidP="009E1FCA">
            <w:pPr>
              <w:ind w:right="316"/>
              <w:jc w:val="center"/>
              <w:rPr>
                <w:rFonts w:cstheme="minorHAnsi"/>
                <w:b/>
              </w:rPr>
            </w:pPr>
            <w:r w:rsidRPr="00371069">
              <w:rPr>
                <w:rFonts w:cstheme="minorHAnsi"/>
                <w:b/>
              </w:rPr>
              <w:t>4</w:t>
            </w:r>
          </w:p>
        </w:tc>
      </w:tr>
      <w:tr w:rsidR="00BC669B" w:rsidRPr="00B862B9" w14:paraId="720582BC" w14:textId="77777777" w:rsidTr="00BC669B">
        <w:trPr>
          <w:trHeight w:val="512"/>
          <w:jc w:val="center"/>
        </w:trPr>
        <w:tc>
          <w:tcPr>
            <w:tcW w:w="802" w:type="dxa"/>
            <w:shd w:val="clear" w:color="auto" w:fill="00B050"/>
            <w:vAlign w:val="center"/>
          </w:tcPr>
          <w:p w14:paraId="2B383466" w14:textId="77777777" w:rsidR="00BC669B" w:rsidRPr="00371069" w:rsidRDefault="00BC669B" w:rsidP="009E1FCA">
            <w:pPr>
              <w:ind w:right="316"/>
              <w:jc w:val="center"/>
              <w:rPr>
                <w:rFonts w:cstheme="minorHAnsi"/>
              </w:rPr>
            </w:pPr>
            <w:r w:rsidRPr="00371069">
              <w:rPr>
                <w:rFonts w:cstheme="minorHAnsi"/>
              </w:rPr>
              <w:t>1</w:t>
            </w:r>
          </w:p>
        </w:tc>
        <w:tc>
          <w:tcPr>
            <w:tcW w:w="3929" w:type="dxa"/>
            <w:shd w:val="pct5" w:color="auto" w:fill="auto"/>
            <w:vAlign w:val="center"/>
          </w:tcPr>
          <w:p w14:paraId="263EE81A" w14:textId="3F88F6E7" w:rsidR="00BC669B" w:rsidRPr="00371069" w:rsidRDefault="00742495" w:rsidP="009E1FCA">
            <w:pPr>
              <w:ind w:right="31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Serwer maszyn wirtualnych</w:t>
            </w:r>
          </w:p>
        </w:tc>
        <w:tc>
          <w:tcPr>
            <w:tcW w:w="2194" w:type="dxa"/>
            <w:shd w:val="pct5" w:color="auto" w:fill="auto"/>
            <w:vAlign w:val="center"/>
          </w:tcPr>
          <w:p w14:paraId="565AE604" w14:textId="0474D995" w:rsidR="00BC669B" w:rsidRPr="00371069" w:rsidRDefault="00742495" w:rsidP="009E1FCA">
            <w:pPr>
              <w:ind w:right="31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37" w:type="dxa"/>
            <w:vMerge w:val="restart"/>
            <w:shd w:val="pct5" w:color="auto" w:fill="auto"/>
            <w:vAlign w:val="center"/>
          </w:tcPr>
          <w:p w14:paraId="7837069C" w14:textId="77777777" w:rsidR="00BC669B" w:rsidRPr="00371069" w:rsidRDefault="00BC669B" w:rsidP="009E1FCA">
            <w:pPr>
              <w:ind w:right="316"/>
              <w:jc w:val="center"/>
              <w:rPr>
                <w:rFonts w:cstheme="minorHAnsi"/>
                <w:b/>
              </w:rPr>
            </w:pPr>
            <w:r w:rsidRPr="00FD2ADC">
              <w:rPr>
                <w:rFonts w:cstheme="minorHAnsi"/>
                <w:b/>
              </w:rPr>
              <w:t>do 14 dni kalendarzowych od dnia zawarcia Umowy</w:t>
            </w:r>
          </w:p>
        </w:tc>
      </w:tr>
      <w:tr w:rsidR="00BC669B" w:rsidRPr="00B862B9" w14:paraId="36E48B1C" w14:textId="77777777" w:rsidTr="00BC669B">
        <w:trPr>
          <w:trHeight w:val="376"/>
          <w:jc w:val="center"/>
        </w:trPr>
        <w:tc>
          <w:tcPr>
            <w:tcW w:w="802" w:type="dxa"/>
            <w:shd w:val="clear" w:color="auto" w:fill="00B050"/>
            <w:vAlign w:val="center"/>
          </w:tcPr>
          <w:p w14:paraId="58754E12" w14:textId="77777777" w:rsidR="00BC669B" w:rsidRPr="00625F55" w:rsidRDefault="00BC669B" w:rsidP="009E1FCA">
            <w:pPr>
              <w:ind w:right="316"/>
              <w:jc w:val="center"/>
            </w:pPr>
            <w:r>
              <w:t>2</w:t>
            </w:r>
          </w:p>
        </w:tc>
        <w:tc>
          <w:tcPr>
            <w:tcW w:w="3929" w:type="dxa"/>
            <w:shd w:val="pct5" w:color="auto" w:fill="auto"/>
            <w:vAlign w:val="center"/>
          </w:tcPr>
          <w:p w14:paraId="2740F869" w14:textId="4CC09B65" w:rsidR="00BC669B" w:rsidRPr="00371069" w:rsidRDefault="00742495" w:rsidP="009E1FCA">
            <w:pPr>
              <w:ind w:right="31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Macierz dyskowa dla serwerów maszyn wirtualnych</w:t>
            </w:r>
          </w:p>
        </w:tc>
        <w:tc>
          <w:tcPr>
            <w:tcW w:w="2194" w:type="dxa"/>
            <w:shd w:val="pct5" w:color="auto" w:fill="auto"/>
            <w:vAlign w:val="center"/>
          </w:tcPr>
          <w:p w14:paraId="02868EE4" w14:textId="14163CD9" w:rsidR="00BC669B" w:rsidRPr="00371069" w:rsidRDefault="00742495" w:rsidP="009E1FCA">
            <w:pPr>
              <w:ind w:right="31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37" w:type="dxa"/>
            <w:vMerge/>
            <w:shd w:val="pct5" w:color="auto" w:fill="auto"/>
            <w:vAlign w:val="center"/>
          </w:tcPr>
          <w:p w14:paraId="7F2483E3" w14:textId="77777777" w:rsidR="00BC669B" w:rsidRPr="00371069" w:rsidRDefault="00BC669B" w:rsidP="009E1FCA">
            <w:pPr>
              <w:ind w:right="316"/>
              <w:jc w:val="center"/>
              <w:rPr>
                <w:rFonts w:cstheme="minorHAnsi"/>
                <w:b/>
              </w:rPr>
            </w:pPr>
          </w:p>
        </w:tc>
      </w:tr>
      <w:tr w:rsidR="00BC669B" w:rsidRPr="00B862B9" w14:paraId="4251EFD6" w14:textId="77777777" w:rsidTr="00BC669B">
        <w:trPr>
          <w:trHeight w:val="376"/>
          <w:jc w:val="center"/>
        </w:trPr>
        <w:tc>
          <w:tcPr>
            <w:tcW w:w="802" w:type="dxa"/>
            <w:shd w:val="clear" w:color="auto" w:fill="00B050"/>
            <w:vAlign w:val="center"/>
          </w:tcPr>
          <w:p w14:paraId="6B7F557C" w14:textId="0AA9ABB0" w:rsidR="00BC669B" w:rsidRDefault="00BC669B" w:rsidP="00BC669B">
            <w:pPr>
              <w:ind w:right="316"/>
              <w:jc w:val="center"/>
            </w:pPr>
            <w:r>
              <w:t>3</w:t>
            </w:r>
          </w:p>
        </w:tc>
        <w:tc>
          <w:tcPr>
            <w:tcW w:w="3929" w:type="dxa"/>
            <w:shd w:val="pct5" w:color="auto" w:fill="auto"/>
            <w:vAlign w:val="center"/>
          </w:tcPr>
          <w:p w14:paraId="0EFF689E" w14:textId="618D73ED" w:rsidR="00BC669B" w:rsidRDefault="00742495" w:rsidP="00BC669B">
            <w:pPr>
              <w:ind w:right="316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Oprogramowanie </w:t>
            </w:r>
            <w:proofErr w:type="spellStart"/>
            <w:r>
              <w:rPr>
                <w:rFonts w:cstheme="minorHAnsi"/>
                <w:b/>
              </w:rPr>
              <w:t>wirtualizacyjne</w:t>
            </w:r>
            <w:proofErr w:type="spellEnd"/>
          </w:p>
        </w:tc>
        <w:tc>
          <w:tcPr>
            <w:tcW w:w="2194" w:type="dxa"/>
            <w:shd w:val="pct5" w:color="auto" w:fill="auto"/>
            <w:vAlign w:val="center"/>
          </w:tcPr>
          <w:p w14:paraId="775D1E88" w14:textId="52F3F1AC" w:rsidR="00BC669B" w:rsidRDefault="00742495" w:rsidP="00BC669B">
            <w:pPr>
              <w:ind w:right="31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37" w:type="dxa"/>
            <w:vMerge/>
            <w:shd w:val="pct5" w:color="auto" w:fill="auto"/>
            <w:vAlign w:val="center"/>
          </w:tcPr>
          <w:p w14:paraId="4A693CE5" w14:textId="77777777" w:rsidR="00BC669B" w:rsidRPr="00371069" w:rsidRDefault="00BC669B" w:rsidP="00BC669B">
            <w:pPr>
              <w:ind w:right="316"/>
              <w:jc w:val="center"/>
              <w:rPr>
                <w:rFonts w:cstheme="minorHAnsi"/>
                <w:b/>
              </w:rPr>
            </w:pPr>
          </w:p>
        </w:tc>
      </w:tr>
    </w:tbl>
    <w:p w14:paraId="78B99473" w14:textId="77777777" w:rsidR="000E057E" w:rsidRPr="00371069" w:rsidRDefault="000E057E" w:rsidP="000E057E">
      <w:pPr>
        <w:pStyle w:val="Tekstpodstawowy2"/>
        <w:spacing w:before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280F378" w14:textId="77777777" w:rsidR="000E057E" w:rsidRPr="0098266E" w:rsidRDefault="000E057E" w:rsidP="000E057E">
      <w:pPr>
        <w:pStyle w:val="Nagwek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98266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Wymagania ogólne</w:t>
      </w:r>
    </w:p>
    <w:p w14:paraId="28090774" w14:textId="77777777" w:rsidR="000E057E" w:rsidRPr="00934DC7" w:rsidRDefault="000E057E" w:rsidP="000E057E">
      <w:pPr>
        <w:rPr>
          <w:highlight w:val="yellow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67"/>
        <w:gridCol w:w="7795"/>
      </w:tblGrid>
      <w:tr w:rsidR="000E057E" w:rsidRPr="00B862B9" w14:paraId="4809414A" w14:textId="77777777" w:rsidTr="00B549AD">
        <w:trPr>
          <w:trHeight w:val="428"/>
          <w:tblHeader/>
        </w:trPr>
        <w:tc>
          <w:tcPr>
            <w:tcW w:w="699" w:type="pct"/>
            <w:shd w:val="clear" w:color="auto" w:fill="D9D9D9" w:themeFill="background1" w:themeFillShade="D9"/>
            <w:vAlign w:val="center"/>
          </w:tcPr>
          <w:p w14:paraId="7D6FC435" w14:textId="77777777" w:rsidR="000E057E" w:rsidRPr="00371069" w:rsidRDefault="000E057E" w:rsidP="009E1FCA">
            <w:pPr>
              <w:jc w:val="center"/>
              <w:rPr>
                <w:rFonts w:cstheme="minorHAnsi"/>
                <w:b/>
              </w:rPr>
            </w:pPr>
            <w:r w:rsidRPr="00371069">
              <w:rPr>
                <w:rFonts w:cstheme="minorHAnsi"/>
                <w:b/>
              </w:rPr>
              <w:t>Numer wymagania</w:t>
            </w:r>
          </w:p>
        </w:tc>
        <w:tc>
          <w:tcPr>
            <w:tcW w:w="4301" w:type="pct"/>
            <w:shd w:val="clear" w:color="auto" w:fill="D9D9D9" w:themeFill="background1" w:themeFillShade="D9"/>
            <w:vAlign w:val="center"/>
          </w:tcPr>
          <w:p w14:paraId="43C718A5" w14:textId="77777777" w:rsidR="000E057E" w:rsidRPr="00371069" w:rsidRDefault="000E057E" w:rsidP="009E1FCA">
            <w:pPr>
              <w:jc w:val="center"/>
              <w:rPr>
                <w:rFonts w:cstheme="minorHAnsi"/>
                <w:b/>
              </w:rPr>
            </w:pPr>
            <w:r w:rsidRPr="00371069">
              <w:rPr>
                <w:rFonts w:cstheme="minorHAnsi"/>
                <w:b/>
              </w:rPr>
              <w:t>Opis wymagania</w:t>
            </w:r>
          </w:p>
        </w:tc>
      </w:tr>
      <w:tr w:rsidR="000E057E" w:rsidRPr="00B862B9" w14:paraId="5A330A92" w14:textId="77777777" w:rsidTr="00B549AD">
        <w:tc>
          <w:tcPr>
            <w:tcW w:w="699" w:type="pct"/>
            <w:vAlign w:val="center"/>
          </w:tcPr>
          <w:p w14:paraId="2740CA56" w14:textId="2D696932" w:rsidR="000E057E" w:rsidRPr="00371069" w:rsidRDefault="00BD00EF" w:rsidP="009E1F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301" w:type="pct"/>
          </w:tcPr>
          <w:p w14:paraId="11F0B3EB" w14:textId="69A3EE12" w:rsidR="000E057E" w:rsidRPr="00C20738" w:rsidRDefault="000E057E" w:rsidP="00B85D15">
            <w:pPr>
              <w:jc w:val="both"/>
              <w:rPr>
                <w:rFonts w:cstheme="minorHAnsi"/>
                <w:sz w:val="20"/>
                <w:szCs w:val="20"/>
              </w:rPr>
            </w:pPr>
            <w:r w:rsidRPr="00C20738">
              <w:rPr>
                <w:rFonts w:cstheme="minorHAnsi"/>
                <w:sz w:val="20"/>
                <w:szCs w:val="20"/>
              </w:rPr>
              <w:t>O ile inaczej nie zaznaczono, wszelkie zapisy SOPZ zawierające parametry techniczne należy odczytywać jako parametry minimalne</w:t>
            </w:r>
            <w:r w:rsidR="00B85D15">
              <w:rPr>
                <w:rFonts w:cstheme="minorHAnsi"/>
                <w:sz w:val="20"/>
                <w:szCs w:val="20"/>
              </w:rPr>
              <w:t>.</w:t>
            </w:r>
            <w:r w:rsidRPr="00C2073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E057E" w:rsidRPr="00B862B9" w14:paraId="2857DFD4" w14:textId="77777777" w:rsidTr="00B549AD">
        <w:tc>
          <w:tcPr>
            <w:tcW w:w="699" w:type="pct"/>
            <w:vAlign w:val="center"/>
          </w:tcPr>
          <w:p w14:paraId="732978D3" w14:textId="4EBD724F" w:rsidR="000E057E" w:rsidRPr="00371069" w:rsidRDefault="00BD00EF" w:rsidP="009E1F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301" w:type="pct"/>
          </w:tcPr>
          <w:p w14:paraId="190D252D" w14:textId="07053472" w:rsidR="000E057E" w:rsidRPr="00C20738" w:rsidRDefault="007174D6" w:rsidP="00D25FED">
            <w:pPr>
              <w:jc w:val="both"/>
              <w:rPr>
                <w:rFonts w:cstheme="minorHAnsi"/>
                <w:sz w:val="20"/>
                <w:szCs w:val="20"/>
              </w:rPr>
            </w:pPr>
            <w:r w:rsidRPr="007174D6">
              <w:rPr>
                <w:rFonts w:cstheme="minorHAnsi"/>
                <w:sz w:val="20"/>
                <w:szCs w:val="20"/>
              </w:rPr>
              <w:t>Dostarczany sprzęt musi być fabrycznie nowy, nieużywany, nieregenerowany, kompletny, wyprodukowany nie wcześniej niż w styczniu 2018 r., wolny od jakichkolwiek wad fizycznych i prawnych, sprawny technicznie, pochodzić z oficjalnego kanału dystrybucyjnego. Przez stwierdzenie "fabrycznie nowy" należy rozumieć sprzęt opakowany oryginalnie (opakowanie musi być nienaruszone i posiadać zabezpieczenie zastosowane przez producenta). Przez "wadę fizyczną" należy rozumieć również jakąkolwiek niezgodność ze szczegółowym opisem przedmiotu zamówienia.</w:t>
            </w:r>
          </w:p>
        </w:tc>
      </w:tr>
      <w:tr w:rsidR="000E057E" w:rsidRPr="00B862B9" w14:paraId="451498D3" w14:textId="77777777" w:rsidTr="00B549AD">
        <w:tc>
          <w:tcPr>
            <w:tcW w:w="699" w:type="pct"/>
            <w:vAlign w:val="center"/>
          </w:tcPr>
          <w:p w14:paraId="6F15BB32" w14:textId="086EA344" w:rsidR="000E057E" w:rsidRPr="00371069" w:rsidRDefault="00756CED" w:rsidP="009E1F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301" w:type="pct"/>
          </w:tcPr>
          <w:p w14:paraId="2FBB7217" w14:textId="36BC4C29" w:rsidR="000E057E" w:rsidRPr="00C20738" w:rsidRDefault="000E057E" w:rsidP="00A15083">
            <w:pPr>
              <w:jc w:val="both"/>
              <w:rPr>
                <w:rFonts w:cstheme="minorHAnsi"/>
                <w:sz w:val="20"/>
                <w:szCs w:val="20"/>
              </w:rPr>
            </w:pPr>
            <w:r w:rsidRPr="00C20738">
              <w:rPr>
                <w:rFonts w:cstheme="minorHAnsi"/>
                <w:sz w:val="20"/>
                <w:szCs w:val="20"/>
              </w:rPr>
              <w:t xml:space="preserve">Sprzęt musi być </w:t>
            </w:r>
            <w:r w:rsidR="00A15083">
              <w:rPr>
                <w:rFonts w:cstheme="minorHAnsi"/>
                <w:sz w:val="20"/>
                <w:szCs w:val="20"/>
              </w:rPr>
              <w:t>wyposaż</w:t>
            </w:r>
            <w:r w:rsidRPr="00C20738">
              <w:rPr>
                <w:rFonts w:cstheme="minorHAnsi"/>
                <w:sz w:val="20"/>
                <w:szCs w:val="20"/>
              </w:rPr>
              <w:t xml:space="preserve">ony </w:t>
            </w:r>
            <w:r w:rsidR="00A15083">
              <w:rPr>
                <w:rFonts w:cstheme="minorHAnsi"/>
                <w:sz w:val="20"/>
                <w:szCs w:val="20"/>
              </w:rPr>
              <w:t>w</w:t>
            </w:r>
            <w:r w:rsidRPr="00C20738">
              <w:rPr>
                <w:rFonts w:cstheme="minorHAnsi"/>
                <w:sz w:val="20"/>
                <w:szCs w:val="20"/>
              </w:rPr>
              <w:t>e wszystki</w:t>
            </w:r>
            <w:r w:rsidR="00A15083">
              <w:rPr>
                <w:rFonts w:cstheme="minorHAnsi"/>
                <w:sz w:val="20"/>
                <w:szCs w:val="20"/>
              </w:rPr>
              <w:t>e</w:t>
            </w:r>
            <w:r w:rsidRPr="00C20738">
              <w:rPr>
                <w:rFonts w:cstheme="minorHAnsi"/>
                <w:sz w:val="20"/>
                <w:szCs w:val="20"/>
              </w:rPr>
              <w:t xml:space="preserve"> niezbędn</w:t>
            </w:r>
            <w:r w:rsidR="00A15083">
              <w:rPr>
                <w:rFonts w:cstheme="minorHAnsi"/>
                <w:sz w:val="20"/>
                <w:szCs w:val="20"/>
              </w:rPr>
              <w:t>e</w:t>
            </w:r>
            <w:r w:rsidRPr="00C20738">
              <w:rPr>
                <w:rFonts w:cstheme="minorHAnsi"/>
                <w:sz w:val="20"/>
                <w:szCs w:val="20"/>
              </w:rPr>
              <w:t xml:space="preserve"> do</w:t>
            </w:r>
            <w:r w:rsidR="00A15083">
              <w:rPr>
                <w:rFonts w:cstheme="minorHAnsi"/>
                <w:sz w:val="20"/>
                <w:szCs w:val="20"/>
              </w:rPr>
              <w:t xml:space="preserve"> jego</w:t>
            </w:r>
            <w:r w:rsidRPr="00C20738">
              <w:rPr>
                <w:rFonts w:cstheme="minorHAnsi"/>
                <w:sz w:val="20"/>
                <w:szCs w:val="20"/>
              </w:rPr>
              <w:t xml:space="preserve"> działania i zapewnienia wymaganych funkcjonalności</w:t>
            </w:r>
            <w:r w:rsidR="00A15083">
              <w:rPr>
                <w:rFonts w:cstheme="minorHAnsi"/>
                <w:sz w:val="20"/>
                <w:szCs w:val="20"/>
              </w:rPr>
              <w:t xml:space="preserve"> Sprzętu standardowe rozwiązania softwarowe wraz z prawem do</w:t>
            </w:r>
            <w:r w:rsidRPr="00C20738">
              <w:rPr>
                <w:rFonts w:cstheme="minorHAnsi"/>
                <w:sz w:val="20"/>
                <w:szCs w:val="20"/>
              </w:rPr>
              <w:t xml:space="preserve"> bezterminow</w:t>
            </w:r>
            <w:r w:rsidR="00A15083">
              <w:rPr>
                <w:rFonts w:cstheme="minorHAnsi"/>
                <w:sz w:val="20"/>
                <w:szCs w:val="20"/>
              </w:rPr>
              <w:t>ego</w:t>
            </w:r>
            <w:r w:rsidR="00A15083" w:rsidRPr="00A15083">
              <w:rPr>
                <w:rFonts w:cstheme="minorHAnsi"/>
                <w:sz w:val="20"/>
                <w:szCs w:val="20"/>
              </w:rPr>
              <w:t xml:space="preserve"> korzystania przez Zamawiającego z</w:t>
            </w:r>
            <w:r w:rsidRPr="00A15083">
              <w:rPr>
                <w:rFonts w:cstheme="minorHAnsi"/>
                <w:sz w:val="20"/>
                <w:szCs w:val="20"/>
              </w:rPr>
              <w:t xml:space="preserve"> tych</w:t>
            </w:r>
            <w:r w:rsidR="00A15083" w:rsidRPr="00A15083">
              <w:rPr>
                <w:rFonts w:cstheme="minorHAnsi"/>
                <w:sz w:val="20"/>
                <w:szCs w:val="20"/>
              </w:rPr>
              <w:t xml:space="preserve"> rozwiązań w takiej</w:t>
            </w:r>
            <w:r w:rsidRPr="00A15083">
              <w:rPr>
                <w:rFonts w:cstheme="minorHAnsi"/>
                <w:sz w:val="20"/>
                <w:szCs w:val="20"/>
              </w:rPr>
              <w:t xml:space="preserve"> funkcj</w:t>
            </w:r>
            <w:r w:rsidRPr="00577230">
              <w:rPr>
                <w:rFonts w:cstheme="minorHAnsi"/>
                <w:sz w:val="20"/>
                <w:szCs w:val="20"/>
              </w:rPr>
              <w:t>i</w:t>
            </w:r>
            <w:r w:rsidR="00F97BA4">
              <w:rPr>
                <w:rFonts w:cstheme="minorHAnsi"/>
                <w:sz w:val="20"/>
                <w:szCs w:val="20"/>
              </w:rPr>
              <w:t>,</w:t>
            </w:r>
            <w:r w:rsidR="00A15083" w:rsidRPr="00577230">
              <w:rPr>
                <w:rFonts w:cstheme="minorHAnsi"/>
                <w:sz w:val="20"/>
                <w:szCs w:val="20"/>
              </w:rPr>
              <w:t xml:space="preserve"> jednakże </w:t>
            </w:r>
            <w:r w:rsidR="00A15083" w:rsidRPr="00481FC3">
              <w:rPr>
                <w:rFonts w:cstheme="minorHAnsi"/>
                <w:sz w:val="20"/>
                <w:szCs w:val="20"/>
              </w:rPr>
              <w:t>w każdym przypadku nie krócej</w:t>
            </w:r>
            <w:r w:rsidR="00F97BA4">
              <w:rPr>
                <w:rFonts w:cstheme="minorHAnsi"/>
                <w:sz w:val="20"/>
                <w:szCs w:val="20"/>
              </w:rPr>
              <w:t>,</w:t>
            </w:r>
            <w:r w:rsidR="00A15083" w:rsidRPr="00481FC3">
              <w:rPr>
                <w:rFonts w:cstheme="minorHAnsi"/>
                <w:sz w:val="20"/>
                <w:szCs w:val="20"/>
              </w:rPr>
              <w:t xml:space="preserve"> niż przez czas</w:t>
            </w:r>
            <w:r w:rsidR="00F97BA4">
              <w:rPr>
                <w:rFonts w:cstheme="minorHAnsi"/>
                <w:sz w:val="20"/>
                <w:szCs w:val="20"/>
              </w:rPr>
              <w:t>,</w:t>
            </w:r>
            <w:r w:rsidR="00A15083" w:rsidRPr="00481FC3">
              <w:rPr>
                <w:rFonts w:cstheme="minorHAnsi"/>
                <w:sz w:val="20"/>
                <w:szCs w:val="20"/>
              </w:rPr>
              <w:t xml:space="preserve"> w jakim będzie </w:t>
            </w:r>
            <w:r w:rsidR="00A15083" w:rsidRPr="003152B1">
              <w:rPr>
                <w:rFonts w:cstheme="minorHAnsi"/>
                <w:sz w:val="20"/>
                <w:szCs w:val="20"/>
              </w:rPr>
              <w:t>technicznie możliwe używanie Sprzętu</w:t>
            </w:r>
            <w:r w:rsidRPr="00C2073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E057E" w:rsidRPr="00B862B9" w14:paraId="54470B17" w14:textId="77777777" w:rsidTr="00B549AD">
        <w:tc>
          <w:tcPr>
            <w:tcW w:w="699" w:type="pct"/>
            <w:vAlign w:val="center"/>
          </w:tcPr>
          <w:p w14:paraId="4237A088" w14:textId="453A654F" w:rsidR="000E057E" w:rsidRPr="00371069" w:rsidRDefault="00756CED" w:rsidP="009E1F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301" w:type="pct"/>
          </w:tcPr>
          <w:p w14:paraId="6B165EFD" w14:textId="51B9F433" w:rsidR="000E057E" w:rsidRPr="00C20738" w:rsidRDefault="000E057E" w:rsidP="009E1FCA">
            <w:pPr>
              <w:jc w:val="both"/>
              <w:rPr>
                <w:rFonts w:cstheme="minorHAnsi"/>
                <w:sz w:val="20"/>
                <w:szCs w:val="20"/>
              </w:rPr>
            </w:pPr>
            <w:r w:rsidRPr="00C20738">
              <w:rPr>
                <w:rFonts w:cstheme="minorHAnsi"/>
                <w:sz w:val="20"/>
                <w:szCs w:val="20"/>
              </w:rPr>
              <w:t>Dokumenty gwarancyjne wystawiane lub przekazywane przez Wykonawcę powinny być zgodne z</w:t>
            </w:r>
            <w:r w:rsidR="007174D6">
              <w:rPr>
                <w:rFonts w:cstheme="minorHAnsi"/>
                <w:sz w:val="20"/>
                <w:szCs w:val="20"/>
              </w:rPr>
              <w:t xml:space="preserve"> SIWZ</w:t>
            </w:r>
            <w:r w:rsidRPr="00C2073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549AD" w:rsidRPr="00B862B9" w14:paraId="3BC6D623" w14:textId="77777777" w:rsidTr="00B549AD">
        <w:tc>
          <w:tcPr>
            <w:tcW w:w="699" w:type="pct"/>
            <w:vAlign w:val="center"/>
          </w:tcPr>
          <w:p w14:paraId="02C0AAE7" w14:textId="4B372BE4" w:rsidR="00B549AD" w:rsidRPr="00371069" w:rsidDel="00162939" w:rsidRDefault="00756CED" w:rsidP="00B549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301" w:type="pct"/>
          </w:tcPr>
          <w:p w14:paraId="346903E2" w14:textId="52A919EB" w:rsidR="00B549AD" w:rsidRPr="00C20738" w:rsidRDefault="00B147FB" w:rsidP="00412A6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Oprogramowanie</w:t>
            </w:r>
            <w:r w:rsidR="00B549AD" w:rsidRPr="00ED7F65">
              <w:rPr>
                <w:rFonts w:cstheme="minorHAnsi"/>
                <w:sz w:val="20"/>
              </w:rPr>
              <w:t xml:space="preserve"> pochodzić będ</w:t>
            </w:r>
            <w:r>
              <w:rPr>
                <w:rFonts w:cstheme="minorHAnsi"/>
                <w:sz w:val="20"/>
              </w:rPr>
              <w:t>zie</w:t>
            </w:r>
            <w:r w:rsidR="00B549AD" w:rsidRPr="00ED7F65">
              <w:rPr>
                <w:rFonts w:cstheme="minorHAnsi"/>
                <w:sz w:val="20"/>
              </w:rPr>
              <w:t xml:space="preserve"> z legalnego, tj. akceptowanego przez producenta Oprogramowania kanału dystrybucji</w:t>
            </w:r>
            <w:r w:rsidR="00412A67">
              <w:rPr>
                <w:rFonts w:cstheme="minorHAnsi"/>
                <w:sz w:val="20"/>
              </w:rPr>
              <w:t xml:space="preserve"> oraz zostanie udostępnione Zamawiające</w:t>
            </w:r>
            <w:r w:rsidR="003342C5">
              <w:rPr>
                <w:rFonts w:cstheme="minorHAnsi"/>
                <w:sz w:val="20"/>
              </w:rPr>
              <w:t>mu</w:t>
            </w:r>
            <w:r w:rsidR="00412A67">
              <w:rPr>
                <w:rFonts w:cstheme="minorHAnsi"/>
                <w:sz w:val="20"/>
              </w:rPr>
              <w:t xml:space="preserve"> do korzystania na warunkach stosowanych lub akceptowanych przez takiego producenta</w:t>
            </w:r>
            <w:r w:rsidR="00B549AD" w:rsidRPr="00ED7F65">
              <w:rPr>
                <w:rFonts w:cstheme="minorHAnsi"/>
                <w:sz w:val="20"/>
              </w:rPr>
              <w:t xml:space="preserve">.  </w:t>
            </w:r>
          </w:p>
        </w:tc>
      </w:tr>
    </w:tbl>
    <w:p w14:paraId="448162DF" w14:textId="77777777" w:rsidR="000E057E" w:rsidRPr="00371069" w:rsidRDefault="000E057E" w:rsidP="000E057E">
      <w:pPr>
        <w:spacing w:after="0" w:line="240" w:lineRule="auto"/>
        <w:rPr>
          <w:rFonts w:cstheme="minorHAnsi"/>
        </w:rPr>
      </w:pPr>
    </w:p>
    <w:p w14:paraId="13DBC3A7" w14:textId="74C3DE57" w:rsidR="000E057E" w:rsidRDefault="000E057E" w:rsidP="000E057E">
      <w:pPr>
        <w:spacing w:after="0" w:line="240" w:lineRule="auto"/>
        <w:ind w:left="708"/>
        <w:jc w:val="both"/>
        <w:rPr>
          <w:rFonts w:cstheme="minorHAnsi"/>
        </w:rPr>
      </w:pPr>
    </w:p>
    <w:p w14:paraId="1935A70B" w14:textId="3A561927" w:rsidR="004B0904" w:rsidRDefault="004B0904" w:rsidP="000E057E">
      <w:pPr>
        <w:spacing w:after="0" w:line="240" w:lineRule="auto"/>
        <w:ind w:left="708"/>
        <w:jc w:val="both"/>
        <w:rPr>
          <w:rFonts w:cstheme="minorHAnsi"/>
        </w:rPr>
      </w:pPr>
    </w:p>
    <w:p w14:paraId="38C6511C" w14:textId="2F885244" w:rsidR="004B0904" w:rsidRDefault="004B0904" w:rsidP="000E057E">
      <w:pPr>
        <w:spacing w:after="0" w:line="240" w:lineRule="auto"/>
        <w:ind w:left="708"/>
        <w:jc w:val="both"/>
        <w:rPr>
          <w:rFonts w:cstheme="minorHAnsi"/>
        </w:rPr>
      </w:pPr>
    </w:p>
    <w:p w14:paraId="1BC8B440" w14:textId="77777777" w:rsidR="00C3252C" w:rsidRDefault="00C3252C" w:rsidP="000E057E">
      <w:pPr>
        <w:spacing w:after="0" w:line="240" w:lineRule="auto"/>
        <w:ind w:left="708"/>
        <w:jc w:val="both"/>
        <w:rPr>
          <w:rFonts w:cstheme="minorHAnsi"/>
        </w:rPr>
      </w:pPr>
    </w:p>
    <w:p w14:paraId="189751AF" w14:textId="66E2CA68" w:rsidR="00A144E4" w:rsidRPr="0098266E" w:rsidRDefault="00A144E4" w:rsidP="00A144E4">
      <w:pPr>
        <w:pStyle w:val="Nagwek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Kryteria równoważności</w:t>
      </w:r>
    </w:p>
    <w:p w14:paraId="394F7DCE" w14:textId="399A0ECB" w:rsidR="00A144E4" w:rsidRDefault="00A144E4" w:rsidP="000E057E">
      <w:pPr>
        <w:spacing w:after="0" w:line="240" w:lineRule="auto"/>
        <w:ind w:left="708"/>
        <w:jc w:val="both"/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67"/>
        <w:gridCol w:w="7795"/>
      </w:tblGrid>
      <w:tr w:rsidR="00A144E4" w:rsidRPr="00B862B9" w14:paraId="63A7C45F" w14:textId="77777777" w:rsidTr="007959F8">
        <w:trPr>
          <w:trHeight w:val="428"/>
          <w:tblHeader/>
        </w:trPr>
        <w:tc>
          <w:tcPr>
            <w:tcW w:w="699" w:type="pct"/>
            <w:shd w:val="clear" w:color="auto" w:fill="D9D9D9" w:themeFill="background1" w:themeFillShade="D9"/>
            <w:vAlign w:val="center"/>
          </w:tcPr>
          <w:p w14:paraId="271B4764" w14:textId="77777777" w:rsidR="00A144E4" w:rsidRPr="00371069" w:rsidRDefault="00A144E4" w:rsidP="007959F8">
            <w:pPr>
              <w:jc w:val="center"/>
              <w:rPr>
                <w:rFonts w:cstheme="minorHAnsi"/>
                <w:b/>
              </w:rPr>
            </w:pPr>
            <w:r w:rsidRPr="00371069">
              <w:rPr>
                <w:rFonts w:cstheme="minorHAnsi"/>
                <w:b/>
              </w:rPr>
              <w:t>Numer wymagania</w:t>
            </w:r>
          </w:p>
        </w:tc>
        <w:tc>
          <w:tcPr>
            <w:tcW w:w="4301" w:type="pct"/>
            <w:shd w:val="clear" w:color="auto" w:fill="D9D9D9" w:themeFill="background1" w:themeFillShade="D9"/>
            <w:vAlign w:val="center"/>
          </w:tcPr>
          <w:p w14:paraId="5C8E8C43" w14:textId="77777777" w:rsidR="00A144E4" w:rsidRPr="00371069" w:rsidRDefault="00A144E4" w:rsidP="007959F8">
            <w:pPr>
              <w:jc w:val="center"/>
              <w:rPr>
                <w:rFonts w:cstheme="minorHAnsi"/>
                <w:b/>
              </w:rPr>
            </w:pPr>
            <w:r w:rsidRPr="00371069">
              <w:rPr>
                <w:rFonts w:cstheme="minorHAnsi"/>
                <w:b/>
              </w:rPr>
              <w:t>Opis wymagania</w:t>
            </w:r>
          </w:p>
        </w:tc>
      </w:tr>
      <w:tr w:rsidR="00A144E4" w:rsidRPr="00B862B9" w14:paraId="1D3377DB" w14:textId="77777777" w:rsidTr="007959F8">
        <w:tc>
          <w:tcPr>
            <w:tcW w:w="699" w:type="pct"/>
            <w:vAlign w:val="center"/>
          </w:tcPr>
          <w:p w14:paraId="36256F24" w14:textId="77777777" w:rsidR="00A144E4" w:rsidRPr="00371069" w:rsidRDefault="00A144E4" w:rsidP="007959F8">
            <w:pPr>
              <w:jc w:val="center"/>
              <w:rPr>
                <w:rFonts w:cstheme="minorHAnsi"/>
              </w:rPr>
            </w:pPr>
            <w:r w:rsidRPr="00371069">
              <w:rPr>
                <w:rFonts w:cstheme="minorHAnsi"/>
              </w:rPr>
              <w:t>1</w:t>
            </w:r>
          </w:p>
        </w:tc>
        <w:tc>
          <w:tcPr>
            <w:tcW w:w="4301" w:type="pct"/>
          </w:tcPr>
          <w:p w14:paraId="552590DE" w14:textId="232F8A69" w:rsidR="00A144E4" w:rsidRPr="00C20738" w:rsidRDefault="00A144E4" w:rsidP="007959F8">
            <w:pPr>
              <w:jc w:val="both"/>
              <w:rPr>
                <w:rFonts w:cstheme="minorHAnsi"/>
                <w:sz w:val="20"/>
                <w:szCs w:val="20"/>
              </w:rPr>
            </w:pPr>
            <w:r w:rsidRPr="00C20738">
              <w:rPr>
                <w:rFonts w:cstheme="minorHAnsi"/>
                <w:sz w:val="20"/>
                <w:szCs w:val="20"/>
              </w:rPr>
              <w:t>W przypadkach, kiedy w szczegółowym opisie przedmiotu zamówienia wskazane zostały znaki towarowe, patenty, pochodzenie, źródło lub szczególny proces, który charakteryzuje produkty lub usługi dostarczane przez konkretnego Wykonawcę</w:t>
            </w:r>
            <w:r w:rsidR="00F97BA4">
              <w:rPr>
                <w:rFonts w:cstheme="minorHAnsi"/>
                <w:sz w:val="20"/>
                <w:szCs w:val="20"/>
              </w:rPr>
              <w:t>,</w:t>
            </w:r>
            <w:r w:rsidRPr="00C20738">
              <w:rPr>
                <w:rFonts w:cstheme="minorHAnsi"/>
                <w:sz w:val="20"/>
                <w:szCs w:val="20"/>
              </w:rPr>
              <w:t xml:space="preserve"> co prowadziłoby do uprzywilejowania lub wyeliminowania niektórych wykonawców lub produktów, oznacza to, że Zamawiający nie może opisać przedmiotu zamówienia za pomocą dostatecznie dokładnych określeń i jest to uzasadnione specyfiką przedmiotu zamówienia. W takich sytuacjach ewentualne wskazania na znaki towarowe, patenty, pochodzenie, źródło lub szczególny proces, należy odczytywać z wyrazami „lub równoważne”.</w:t>
            </w:r>
          </w:p>
        </w:tc>
      </w:tr>
      <w:tr w:rsidR="00A144E4" w:rsidRPr="00B862B9" w14:paraId="1FCA3564" w14:textId="77777777" w:rsidTr="007959F8">
        <w:tc>
          <w:tcPr>
            <w:tcW w:w="699" w:type="pct"/>
            <w:vAlign w:val="center"/>
          </w:tcPr>
          <w:p w14:paraId="5A89D2EA" w14:textId="77777777" w:rsidR="00A144E4" w:rsidRPr="00371069" w:rsidRDefault="00A144E4" w:rsidP="007959F8">
            <w:pPr>
              <w:jc w:val="center"/>
              <w:rPr>
                <w:rFonts w:cstheme="minorHAnsi"/>
              </w:rPr>
            </w:pPr>
            <w:r w:rsidRPr="00371069">
              <w:rPr>
                <w:rFonts w:cstheme="minorHAnsi"/>
              </w:rPr>
              <w:t>2</w:t>
            </w:r>
          </w:p>
        </w:tc>
        <w:tc>
          <w:tcPr>
            <w:tcW w:w="4301" w:type="pct"/>
          </w:tcPr>
          <w:p w14:paraId="746D4A59" w14:textId="00ACB30F" w:rsidR="00A144E4" w:rsidRPr="00C20738" w:rsidRDefault="00A144E4" w:rsidP="007959F8">
            <w:pPr>
              <w:jc w:val="both"/>
              <w:rPr>
                <w:rFonts w:cstheme="minorHAnsi"/>
                <w:sz w:val="20"/>
                <w:szCs w:val="20"/>
              </w:rPr>
            </w:pPr>
            <w:r w:rsidRPr="00C20738">
              <w:rPr>
                <w:rFonts w:cstheme="minorHAnsi"/>
                <w:sz w:val="20"/>
                <w:szCs w:val="20"/>
              </w:rPr>
              <w:t>W sytuacjach, kiedy Zamawiający opisuje szczegółowy przedmiot zamówienia poprzez odniesienie się do norm europejskich</w:t>
            </w:r>
            <w:r w:rsidR="00F97BA4">
              <w:rPr>
                <w:rFonts w:cstheme="minorHAnsi"/>
                <w:sz w:val="20"/>
                <w:szCs w:val="20"/>
              </w:rPr>
              <w:t>,</w:t>
            </w:r>
            <w:r w:rsidRPr="00C20738">
              <w:rPr>
                <w:rFonts w:cstheme="minorHAnsi"/>
                <w:sz w:val="20"/>
                <w:szCs w:val="20"/>
              </w:rPr>
              <w:t xml:space="preserve"> ocen technicznych, aprobat, specyfikacji technicznych i systemów referencji technicznych,  o których mowa w art. 30 ust. 1 pkt 2 i ust. 3 ustawy </w:t>
            </w:r>
            <w:proofErr w:type="spellStart"/>
            <w:r w:rsidRPr="00C20738">
              <w:rPr>
                <w:rFonts w:cstheme="minorHAnsi"/>
                <w:sz w:val="20"/>
                <w:szCs w:val="20"/>
              </w:rPr>
              <w:t>Pzp</w:t>
            </w:r>
            <w:proofErr w:type="spellEnd"/>
            <w:r w:rsidRPr="00C20738">
              <w:rPr>
                <w:rFonts w:cstheme="minorHAnsi"/>
                <w:sz w:val="20"/>
                <w:szCs w:val="20"/>
              </w:rPr>
              <w:t>, Zamawiający dopuszcza rozwiązania równoważne, a wskazane powyżej odniesienia należy odczytywać z wyrazami „lub równoważne”.</w:t>
            </w:r>
          </w:p>
        </w:tc>
      </w:tr>
      <w:tr w:rsidR="00A144E4" w:rsidRPr="00B862B9" w14:paraId="0BB49041" w14:textId="77777777" w:rsidTr="007959F8">
        <w:tc>
          <w:tcPr>
            <w:tcW w:w="699" w:type="pct"/>
            <w:vAlign w:val="center"/>
          </w:tcPr>
          <w:p w14:paraId="2B6EF6F3" w14:textId="77777777" w:rsidR="00A144E4" w:rsidRPr="00371069" w:rsidRDefault="00A144E4" w:rsidP="007959F8">
            <w:pPr>
              <w:jc w:val="center"/>
              <w:rPr>
                <w:rFonts w:cstheme="minorHAnsi"/>
              </w:rPr>
            </w:pPr>
            <w:r w:rsidRPr="00371069">
              <w:rPr>
                <w:rFonts w:cstheme="minorHAnsi"/>
              </w:rPr>
              <w:t>3</w:t>
            </w:r>
          </w:p>
        </w:tc>
        <w:tc>
          <w:tcPr>
            <w:tcW w:w="4301" w:type="pct"/>
          </w:tcPr>
          <w:p w14:paraId="5B0495E7" w14:textId="77777777" w:rsidR="00A144E4" w:rsidRPr="00C20738" w:rsidRDefault="00A144E4" w:rsidP="007959F8">
            <w:pPr>
              <w:jc w:val="both"/>
              <w:rPr>
                <w:rFonts w:cstheme="minorHAnsi"/>
                <w:sz w:val="20"/>
                <w:szCs w:val="20"/>
              </w:rPr>
            </w:pPr>
            <w:r w:rsidRPr="00C20738">
              <w:rPr>
                <w:rFonts w:cstheme="minorHAnsi"/>
                <w:sz w:val="20"/>
                <w:szCs w:val="20"/>
              </w:rPr>
              <w:t>Pod pojęciem rozwiązań równoważnych Zamawiający rozumie taki sprzęt, który posiada parametry techniczne i/lub funkcjonalne co najmniej równe do określonych w SOPZ.</w:t>
            </w:r>
          </w:p>
          <w:p w14:paraId="59F79FA6" w14:textId="77777777" w:rsidR="00A144E4" w:rsidRPr="00C20738" w:rsidRDefault="00A144E4" w:rsidP="007959F8">
            <w:pPr>
              <w:jc w:val="both"/>
              <w:rPr>
                <w:rFonts w:cstheme="minorHAnsi"/>
                <w:sz w:val="20"/>
                <w:szCs w:val="20"/>
              </w:rPr>
            </w:pPr>
            <w:r w:rsidRPr="00C20738">
              <w:rPr>
                <w:rFonts w:cstheme="minorHAnsi"/>
                <w:sz w:val="20"/>
                <w:szCs w:val="20"/>
              </w:rPr>
              <w:t>Wykonawca, który powołuje się na rozwiązania równoważne opisywane przez Zamawiającego, jest obowiązany wykazać, że oferowane przez niego dostawy lub usługi spełniają wymagania określone przez Zamawiającego.</w:t>
            </w:r>
          </w:p>
        </w:tc>
      </w:tr>
      <w:tr w:rsidR="00A144E4" w:rsidRPr="00B862B9" w14:paraId="383E70E0" w14:textId="77777777" w:rsidTr="007959F8">
        <w:tc>
          <w:tcPr>
            <w:tcW w:w="699" w:type="pct"/>
            <w:vAlign w:val="center"/>
          </w:tcPr>
          <w:p w14:paraId="26BC5D5A" w14:textId="3EA790C0" w:rsidR="00A144E4" w:rsidRPr="00371069" w:rsidDel="00162939" w:rsidRDefault="00A144E4" w:rsidP="007959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301" w:type="pct"/>
          </w:tcPr>
          <w:p w14:paraId="235613B3" w14:textId="744117BD" w:rsidR="00A144E4" w:rsidRPr="00C20738" w:rsidRDefault="00A144E4" w:rsidP="007959F8">
            <w:pPr>
              <w:jc w:val="both"/>
              <w:rPr>
                <w:rFonts w:cstheme="minorHAnsi"/>
                <w:sz w:val="20"/>
                <w:szCs w:val="20"/>
              </w:rPr>
            </w:pPr>
            <w:r w:rsidRPr="00ED7F65">
              <w:rPr>
                <w:sz w:val="20"/>
              </w:rPr>
              <w:t xml:space="preserve">Oprogramowanie równoważne musi być kompatybilne z oryginalnym Oprogramowaniem oraz posiadać wszystkie jego cechy funkcjonalne. W szczególności musi charakteryzować się cechami wskazanymi </w:t>
            </w:r>
            <w:r w:rsidRPr="00BA0DA8">
              <w:rPr>
                <w:sz w:val="20"/>
              </w:rPr>
              <w:t xml:space="preserve">w </w:t>
            </w:r>
            <w:r w:rsidRPr="0023650B">
              <w:rPr>
                <w:rFonts w:cstheme="minorHAnsi"/>
                <w:sz w:val="20"/>
              </w:rPr>
              <w:t xml:space="preserve">pkt. </w:t>
            </w:r>
            <w:r w:rsidR="00BA0DA8" w:rsidRPr="0023650B">
              <w:rPr>
                <w:rFonts w:cstheme="minorHAnsi"/>
                <w:sz w:val="20"/>
              </w:rPr>
              <w:t>4</w:t>
            </w:r>
            <w:r w:rsidR="00B147FB">
              <w:rPr>
                <w:rFonts w:cstheme="minorHAnsi"/>
                <w:sz w:val="20"/>
              </w:rPr>
              <w:t xml:space="preserve"> i spełniać wymagania tam wskazane</w:t>
            </w:r>
            <w:r w:rsidRPr="0023650B">
              <w:rPr>
                <w:rFonts w:cstheme="minorHAnsi"/>
                <w:bCs/>
                <w:sz w:val="20"/>
              </w:rPr>
              <w:t>.</w:t>
            </w:r>
          </w:p>
        </w:tc>
      </w:tr>
    </w:tbl>
    <w:p w14:paraId="66365C1C" w14:textId="77777777" w:rsidR="00A144E4" w:rsidRPr="00371069" w:rsidRDefault="00A144E4" w:rsidP="000E057E">
      <w:pPr>
        <w:spacing w:after="0" w:line="240" w:lineRule="auto"/>
        <w:ind w:left="708"/>
        <w:jc w:val="both"/>
        <w:rPr>
          <w:rFonts w:cstheme="minorHAnsi"/>
        </w:rPr>
      </w:pPr>
    </w:p>
    <w:p w14:paraId="70EDA91E" w14:textId="77777777" w:rsidR="000E057E" w:rsidRPr="00277EA3" w:rsidRDefault="000E057E" w:rsidP="000E057E">
      <w:pPr>
        <w:pStyle w:val="Nagwek2"/>
        <w:numPr>
          <w:ilvl w:val="0"/>
          <w:numId w:val="2"/>
        </w:numPr>
        <w:spacing w:before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77EA3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Wymagania szczegółowe Zamawiającego:</w:t>
      </w:r>
    </w:p>
    <w:p w14:paraId="687DE0BA" w14:textId="77777777" w:rsidR="000E057E" w:rsidRDefault="000E057E" w:rsidP="000E057E">
      <w:pPr>
        <w:spacing w:after="0" w:line="240" w:lineRule="auto"/>
        <w:ind w:left="284" w:right="46"/>
        <w:jc w:val="center"/>
        <w:rPr>
          <w:rFonts w:cstheme="minorHAnsi"/>
          <w:b/>
        </w:rPr>
      </w:pPr>
    </w:p>
    <w:p w14:paraId="40233116" w14:textId="76E2E9C5" w:rsidR="000E057E" w:rsidRDefault="000E057E" w:rsidP="000E057E">
      <w:pPr>
        <w:pStyle w:val="Akapitzlist"/>
        <w:spacing w:after="0" w:line="240" w:lineRule="auto"/>
        <w:ind w:left="426"/>
        <w:jc w:val="center"/>
        <w:rPr>
          <w:rFonts w:cstheme="minorHAnsi"/>
          <w:b/>
        </w:rPr>
      </w:pPr>
      <w:r w:rsidRPr="00371069">
        <w:rPr>
          <w:rFonts w:cstheme="minorHAnsi"/>
          <w:b/>
        </w:rPr>
        <w:t xml:space="preserve">Zestawienie </w:t>
      </w:r>
      <w:r w:rsidR="00EE6BD9">
        <w:rPr>
          <w:rFonts w:cstheme="minorHAnsi"/>
          <w:b/>
        </w:rPr>
        <w:t xml:space="preserve">minimalnych </w:t>
      </w:r>
      <w:r w:rsidRPr="00371069">
        <w:rPr>
          <w:rFonts w:cstheme="minorHAnsi"/>
          <w:b/>
        </w:rPr>
        <w:t>parametrów technicznych wymaganych</w:t>
      </w:r>
      <w:r>
        <w:rPr>
          <w:rFonts w:cstheme="minorHAnsi"/>
          <w:b/>
        </w:rPr>
        <w:t xml:space="preserve"> odnośnie serwera </w:t>
      </w:r>
      <w:r w:rsidR="00EE6BD9">
        <w:rPr>
          <w:rFonts w:cstheme="minorHAnsi"/>
          <w:b/>
        </w:rPr>
        <w:t>maszyn wirtualnych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584"/>
        <w:gridCol w:w="7039"/>
      </w:tblGrid>
      <w:tr w:rsidR="000E057E" w:rsidRPr="00DD4B4F" w14:paraId="045F2507" w14:textId="77777777" w:rsidTr="009F5800">
        <w:trPr>
          <w:trHeight w:val="587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211EF9F4" w14:textId="77777777" w:rsidR="000E057E" w:rsidRPr="00DD4B4F" w:rsidRDefault="000E057E" w:rsidP="009E1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3C67BAC4" w14:textId="77777777" w:rsidR="000E057E" w:rsidRPr="00DD4B4F" w:rsidRDefault="000E057E" w:rsidP="009E1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7274C2B9" w14:textId="5B1136D7" w:rsidR="000E057E" w:rsidRPr="00DD4B4F" w:rsidRDefault="00FD2530" w:rsidP="009E1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Minimalne w</w:t>
            </w:r>
            <w:r w:rsidR="000E057E" w:rsidRPr="00DD4B4F">
              <w:rPr>
                <w:rFonts w:cstheme="minorHAnsi"/>
                <w:b/>
                <w:bCs/>
                <w:sz w:val="20"/>
                <w:szCs w:val="20"/>
              </w:rPr>
              <w:t>artości wymagane przez Zamawiającego</w:t>
            </w:r>
          </w:p>
        </w:tc>
      </w:tr>
      <w:tr w:rsidR="000E057E" w:rsidRPr="00DD4B4F" w14:paraId="04074FC8" w14:textId="77777777" w:rsidTr="009F5800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511C2DB9" w14:textId="77777777" w:rsidR="000E057E" w:rsidRPr="00DD4B4F" w:rsidRDefault="000E057E" w:rsidP="009E1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4112E42E" w14:textId="77777777" w:rsidR="000E057E" w:rsidRPr="00DD4B4F" w:rsidRDefault="000E057E" w:rsidP="009E1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0CC8879D" w14:textId="77777777" w:rsidR="000E057E" w:rsidRPr="00DD4B4F" w:rsidRDefault="000E057E" w:rsidP="009E1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0E057E" w:rsidRPr="00DD4B4F" w14:paraId="1D2F0534" w14:textId="77777777" w:rsidTr="009F5800">
        <w:trPr>
          <w:trHeight w:val="47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C528C" w14:textId="2FD815EA" w:rsidR="000E057E" w:rsidRPr="00DD4B4F" w:rsidRDefault="000E057E" w:rsidP="009E1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82C0" w14:textId="77777777" w:rsidR="000E057E" w:rsidRPr="00DD4B4F" w:rsidRDefault="000E057E" w:rsidP="009E1F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Liczba procesorów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AF0" w14:textId="77777777" w:rsidR="000E057E" w:rsidRDefault="000E057E" w:rsidP="009E1F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E057E" w:rsidRPr="00DD4B4F" w14:paraId="2A85FE1D" w14:textId="77777777" w:rsidTr="009F5800">
        <w:trPr>
          <w:trHeight w:val="2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75177" w14:textId="0FCD8901" w:rsidR="000E057E" w:rsidRPr="00DD4B4F" w:rsidRDefault="000E057E" w:rsidP="009E1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1733" w14:textId="77777777" w:rsidR="000E057E" w:rsidRPr="00DD4B4F" w:rsidRDefault="000E057E" w:rsidP="009E1F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D89E" w14:textId="3E383487" w:rsidR="000E057E" w:rsidRPr="00DD4B4F" w:rsidRDefault="000E057E" w:rsidP="003342C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D038F">
              <w:rPr>
                <w:rFonts w:cstheme="minorHAnsi"/>
                <w:sz w:val="20"/>
                <w:szCs w:val="20"/>
              </w:rPr>
              <w:t>Procesor do zastosowań serwerowych</w:t>
            </w:r>
            <w:r w:rsidR="002117C3">
              <w:rPr>
                <w:rFonts w:cstheme="minorHAnsi"/>
                <w:sz w:val="20"/>
                <w:szCs w:val="20"/>
              </w:rPr>
              <w:t xml:space="preserve"> klasy x86-64</w:t>
            </w:r>
            <w:r w:rsidRPr="000D038F">
              <w:rPr>
                <w:rFonts w:cstheme="minorHAnsi"/>
                <w:sz w:val="20"/>
                <w:szCs w:val="20"/>
              </w:rPr>
              <w:t xml:space="preserve">. Każdy z zaoferowanych procesorów musi uzyskiwać w teście </w:t>
            </w:r>
            <w:proofErr w:type="spellStart"/>
            <w:r w:rsidRPr="000D038F">
              <w:rPr>
                <w:rFonts w:cstheme="minorHAnsi"/>
                <w:sz w:val="20"/>
                <w:szCs w:val="20"/>
              </w:rPr>
              <w:t>Passmark</w:t>
            </w:r>
            <w:proofErr w:type="spellEnd"/>
            <w:r w:rsidRPr="000D038F">
              <w:rPr>
                <w:rFonts w:cstheme="minorHAnsi"/>
                <w:sz w:val="20"/>
                <w:szCs w:val="20"/>
              </w:rPr>
              <w:t xml:space="preserve"> CPU Mark wynik min.: </w:t>
            </w:r>
            <w:r w:rsidRPr="00282C15">
              <w:rPr>
                <w:rFonts w:cstheme="minorHAnsi"/>
                <w:sz w:val="20"/>
                <w:szCs w:val="20"/>
              </w:rPr>
              <w:t>1</w:t>
            </w:r>
            <w:r w:rsidR="00EE6BD9">
              <w:rPr>
                <w:rFonts w:cstheme="minorHAnsi"/>
                <w:sz w:val="20"/>
                <w:szCs w:val="20"/>
              </w:rPr>
              <w:t>4 1</w:t>
            </w:r>
            <w:r w:rsidRPr="00282C15">
              <w:rPr>
                <w:rFonts w:cstheme="minorHAnsi"/>
                <w:sz w:val="20"/>
                <w:szCs w:val="20"/>
              </w:rPr>
              <w:t>00</w:t>
            </w:r>
            <w:r w:rsidRPr="000D038F">
              <w:rPr>
                <w:rFonts w:cstheme="minorHAnsi"/>
                <w:sz w:val="20"/>
                <w:szCs w:val="20"/>
              </w:rPr>
              <w:t xml:space="preserve"> punktów (</w:t>
            </w:r>
            <w:proofErr w:type="spellStart"/>
            <w:r w:rsidRPr="000D038F">
              <w:rPr>
                <w:rFonts w:cstheme="minorHAnsi"/>
                <w:sz w:val="20"/>
                <w:szCs w:val="20"/>
              </w:rPr>
              <w:t>Average</w:t>
            </w:r>
            <w:proofErr w:type="spellEnd"/>
            <w:r w:rsidRPr="000D038F">
              <w:rPr>
                <w:rFonts w:cstheme="minorHAnsi"/>
                <w:sz w:val="20"/>
                <w:szCs w:val="20"/>
              </w:rPr>
              <w:t xml:space="preserve"> CPU Mark), wynik zaproponowanego procesora musi znajdować się w tabeli wydajności procesorów, pobranej ze strony </w:t>
            </w:r>
            <w:hyperlink r:id="rId8" w:history="1">
              <w:r w:rsidR="003342C5" w:rsidRPr="002E5E5B">
                <w:rPr>
                  <w:rStyle w:val="Hipercze"/>
                  <w:rFonts w:cstheme="minorHAnsi"/>
                  <w:sz w:val="20"/>
                  <w:szCs w:val="20"/>
                </w:rPr>
                <w:t>http://www.cpubenchmark.net</w:t>
              </w:r>
            </w:hyperlink>
            <w:r w:rsidR="003342C5">
              <w:rPr>
                <w:rFonts w:cstheme="minorHAnsi"/>
                <w:sz w:val="20"/>
                <w:szCs w:val="20"/>
              </w:rPr>
              <w:t>, stanowiącej Załącznik nr 1 do SOPZ.</w:t>
            </w:r>
          </w:p>
        </w:tc>
      </w:tr>
      <w:tr w:rsidR="000E057E" w:rsidRPr="00DD4B4F" w14:paraId="1C245BB5" w14:textId="77777777" w:rsidTr="009F5800">
        <w:trPr>
          <w:trHeight w:val="28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27AC5" w14:textId="5B0D9A6B" w:rsidR="000E057E" w:rsidRPr="00DD4B4F" w:rsidRDefault="000E057E" w:rsidP="009E1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C868" w14:textId="77777777" w:rsidR="000E057E" w:rsidRPr="00DD4B4F" w:rsidRDefault="000E057E" w:rsidP="009E1F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2CE6" w14:textId="77777777" w:rsidR="000E057E" w:rsidRPr="00DD4B4F" w:rsidRDefault="000E057E" w:rsidP="009E1F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Dwuprocesorowa o</w:t>
            </w:r>
            <w:r w:rsidRPr="00DD4B4F">
              <w:rPr>
                <w:rFonts w:cstheme="minorHAnsi"/>
                <w:sz w:val="20"/>
                <w:szCs w:val="20"/>
              </w:rPr>
              <w:t xml:space="preserve">parta na chipsecie kompatybilnym z </w:t>
            </w:r>
            <w:r>
              <w:rPr>
                <w:rFonts w:cstheme="minorHAnsi"/>
                <w:sz w:val="20"/>
                <w:szCs w:val="20"/>
              </w:rPr>
              <w:t xml:space="preserve">dostarczonymi </w:t>
            </w:r>
            <w:r w:rsidRPr="00DD4B4F">
              <w:rPr>
                <w:rFonts w:cstheme="minorHAnsi"/>
                <w:sz w:val="20"/>
                <w:szCs w:val="20"/>
              </w:rPr>
              <w:t>procesor</w:t>
            </w:r>
            <w:r>
              <w:rPr>
                <w:rFonts w:cstheme="minorHAnsi"/>
                <w:sz w:val="20"/>
                <w:szCs w:val="20"/>
              </w:rPr>
              <w:t>ami</w:t>
            </w:r>
          </w:p>
        </w:tc>
      </w:tr>
      <w:tr w:rsidR="000E057E" w:rsidRPr="00831A78" w14:paraId="7E3BD0A1" w14:textId="77777777" w:rsidTr="009F5800">
        <w:trPr>
          <w:trHeight w:val="4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EF4AA" w14:textId="33E9D769" w:rsidR="000E057E" w:rsidRPr="00DD4B4F" w:rsidRDefault="000E057E" w:rsidP="009E1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E34B" w14:textId="77777777" w:rsidR="000E057E" w:rsidRPr="00DD4B4F" w:rsidRDefault="000E057E" w:rsidP="009E1F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 xml:space="preserve">Pamięć RAM 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7D4D" w14:textId="7919773A" w:rsidR="000E057E" w:rsidRPr="00FA17E0" w:rsidRDefault="00E3592A" w:rsidP="009E1F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Min. </w:t>
            </w:r>
            <w:r w:rsidR="00EE6BD9">
              <w:rPr>
                <w:rFonts w:cstheme="minorHAnsi"/>
                <w:sz w:val="20"/>
                <w:szCs w:val="20"/>
              </w:rPr>
              <w:t>224</w:t>
            </w:r>
            <w:r w:rsidR="000E057E" w:rsidRPr="00FA17E0">
              <w:rPr>
                <w:rFonts w:cstheme="minorHAnsi"/>
                <w:sz w:val="20"/>
                <w:szCs w:val="20"/>
              </w:rPr>
              <w:t xml:space="preserve"> GB, pracuj</w:t>
            </w:r>
            <w:r w:rsidR="000E057E">
              <w:rPr>
                <w:rFonts w:cstheme="minorHAnsi"/>
                <w:sz w:val="20"/>
                <w:szCs w:val="20"/>
              </w:rPr>
              <w:t>ąc</w:t>
            </w:r>
            <w:r w:rsidR="000E057E" w:rsidRPr="00FA17E0">
              <w:rPr>
                <w:rFonts w:cstheme="minorHAnsi"/>
                <w:sz w:val="20"/>
                <w:szCs w:val="20"/>
              </w:rPr>
              <w:t>a z maksymalną cz</w:t>
            </w:r>
            <w:r w:rsidR="000E057E">
              <w:rPr>
                <w:rFonts w:cstheme="minorHAnsi"/>
                <w:sz w:val="20"/>
                <w:szCs w:val="20"/>
              </w:rPr>
              <w:t>ę</w:t>
            </w:r>
            <w:r w:rsidR="000E057E" w:rsidRPr="00FA17E0">
              <w:rPr>
                <w:rFonts w:cstheme="minorHAnsi"/>
                <w:sz w:val="20"/>
                <w:szCs w:val="20"/>
              </w:rPr>
              <w:t>stotliwością obsługiwaną przez zaproponowany procesor</w:t>
            </w:r>
            <w:r w:rsidR="00EE6BD9">
              <w:rPr>
                <w:rFonts w:cstheme="minorHAnsi"/>
                <w:sz w:val="20"/>
                <w:szCs w:val="20"/>
              </w:rPr>
              <w:t>, typu RDIMM lub LRDIMM, typu ECC (error-</w:t>
            </w:r>
            <w:proofErr w:type="spellStart"/>
            <w:r w:rsidR="00EE6BD9">
              <w:rPr>
                <w:rFonts w:cstheme="minorHAnsi"/>
                <w:sz w:val="20"/>
                <w:szCs w:val="20"/>
              </w:rPr>
              <w:t>correcting</w:t>
            </w:r>
            <w:proofErr w:type="spellEnd"/>
            <w:r w:rsidR="00EE6BD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E6BD9">
              <w:rPr>
                <w:rFonts w:cstheme="minorHAnsi"/>
                <w:sz w:val="20"/>
                <w:szCs w:val="20"/>
              </w:rPr>
              <w:t>code</w:t>
            </w:r>
            <w:proofErr w:type="spellEnd"/>
            <w:r w:rsidR="00EE6BD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E6BD9">
              <w:rPr>
                <w:rFonts w:cstheme="minorHAnsi"/>
                <w:sz w:val="20"/>
                <w:szCs w:val="20"/>
              </w:rPr>
              <w:t>memory</w:t>
            </w:r>
            <w:proofErr w:type="spellEnd"/>
            <w:r w:rsidR="00EE6BD9">
              <w:rPr>
                <w:rFonts w:cstheme="minorHAnsi"/>
                <w:sz w:val="20"/>
                <w:szCs w:val="20"/>
              </w:rPr>
              <w:t>).</w:t>
            </w:r>
          </w:p>
        </w:tc>
      </w:tr>
      <w:tr w:rsidR="00A1525C" w:rsidRPr="00831A78" w14:paraId="181BB6F2" w14:textId="77777777" w:rsidTr="009F5800">
        <w:trPr>
          <w:trHeight w:val="4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80026" w14:textId="2CF99723" w:rsidR="00A1525C" w:rsidRDefault="00742495" w:rsidP="009E1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740A" w14:textId="6B5C1931" w:rsidR="00A1525C" w:rsidRPr="00DD4B4F" w:rsidRDefault="00A1525C" w:rsidP="009E1F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Kontroler RAID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9359" w14:textId="03A83F8C" w:rsidR="00A1525C" w:rsidRDefault="008D5D1D" w:rsidP="009E1F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Wbudowany sprzętowy kontroler RAID wspierający</w:t>
            </w:r>
            <w:r w:rsidR="00F97BA4">
              <w:rPr>
                <w:rFonts w:cstheme="minorHAnsi"/>
                <w:sz w:val="20"/>
                <w:szCs w:val="20"/>
              </w:rPr>
              <w:t xml:space="preserve"> co najmniej tryby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B1F45"/>
                <w:sz w:val="18"/>
                <w:szCs w:val="18"/>
              </w:rPr>
              <w:t>RAID 0/1/5/10</w:t>
            </w:r>
          </w:p>
        </w:tc>
      </w:tr>
      <w:tr w:rsidR="000E057E" w:rsidRPr="00DD4B4F" w14:paraId="00DF8639" w14:textId="77777777" w:rsidTr="009F5800">
        <w:trPr>
          <w:trHeight w:val="4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FB2A3" w14:textId="7E27D1D5" w:rsidR="000E057E" w:rsidRPr="00DD4B4F" w:rsidRDefault="00742495" w:rsidP="009E1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04AF" w14:textId="68F2764F" w:rsidR="000E057E" w:rsidRPr="00DD4B4F" w:rsidRDefault="00EE6BD9" w:rsidP="009E1F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Interfejs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GbE</w:t>
            </w:r>
            <w:proofErr w:type="spellEnd"/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95E0" w14:textId="207D3E0C" w:rsidR="000E057E" w:rsidRPr="00974F99" w:rsidRDefault="00EE6BD9" w:rsidP="009E1F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sztuki wbudowanego interfejsu Gigabit Ethernet (RJ-45).</w:t>
            </w:r>
          </w:p>
        </w:tc>
      </w:tr>
      <w:tr w:rsidR="00EE6BD9" w:rsidRPr="00F97BA4" w14:paraId="3AC500FD" w14:textId="77777777" w:rsidTr="009F5800">
        <w:trPr>
          <w:trHeight w:val="4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70E33" w14:textId="58A9DA74" w:rsidR="00EE6BD9" w:rsidRPr="00DD4B4F" w:rsidRDefault="00742495" w:rsidP="009E1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8EAC" w14:textId="5F33E5F3" w:rsidR="00EE6BD9" w:rsidRDefault="00EE6BD9" w:rsidP="009E1F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Interfejs FC 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35A6" w14:textId="3FE461A1" w:rsidR="00EE6BD9" w:rsidRPr="00FD2530" w:rsidRDefault="00A1525C" w:rsidP="009E1FCA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FD2530" w:rsidRPr="00FD253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2530" w:rsidRPr="00FD2530">
              <w:rPr>
                <w:rFonts w:cstheme="minorHAnsi"/>
                <w:sz w:val="20"/>
                <w:szCs w:val="20"/>
                <w:lang w:val="en-US"/>
              </w:rPr>
              <w:t>port</w:t>
            </w:r>
            <w:r>
              <w:rPr>
                <w:rFonts w:cstheme="minorHAnsi"/>
                <w:sz w:val="20"/>
                <w:szCs w:val="20"/>
                <w:lang w:val="en-US"/>
              </w:rPr>
              <w:t>y</w:t>
            </w:r>
            <w:proofErr w:type="spellEnd"/>
            <w:r w:rsidR="00FD2530" w:rsidRPr="00FD253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D2530" w:rsidRPr="00FD2530">
              <w:rPr>
                <w:rFonts w:cstheme="minorHAnsi"/>
                <w:sz w:val="20"/>
                <w:szCs w:val="20"/>
                <w:lang w:val="en-US"/>
              </w:rPr>
              <w:t>Fibre</w:t>
            </w:r>
            <w:proofErr w:type="spellEnd"/>
            <w:r w:rsidR="00FD2530" w:rsidRPr="00FD2530">
              <w:rPr>
                <w:rFonts w:cstheme="minorHAnsi"/>
                <w:sz w:val="20"/>
                <w:szCs w:val="20"/>
                <w:lang w:val="en-US"/>
              </w:rPr>
              <w:t xml:space="preserve"> Channel min. 8 G</w:t>
            </w:r>
            <w:r w:rsidR="00FD2530">
              <w:rPr>
                <w:rFonts w:cstheme="minorHAnsi"/>
                <w:sz w:val="20"/>
                <w:szCs w:val="20"/>
                <w:lang w:val="en-US"/>
              </w:rPr>
              <w:t>b/s</w:t>
            </w:r>
          </w:p>
        </w:tc>
      </w:tr>
      <w:tr w:rsidR="00A1525C" w:rsidRPr="00A1525C" w14:paraId="70B6F57A" w14:textId="77777777" w:rsidTr="009F5800">
        <w:trPr>
          <w:trHeight w:val="4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1518F" w14:textId="072E7A92" w:rsidR="00A1525C" w:rsidRPr="00A1525C" w:rsidRDefault="00742495" w:rsidP="009E1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AF20" w14:textId="0F8A3A5E" w:rsidR="00A1525C" w:rsidRDefault="00A1525C" w:rsidP="009E1F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Interfejs USB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18D7" w14:textId="3776F07B" w:rsidR="00A1525C" w:rsidRPr="00A1525C" w:rsidRDefault="00A1525C" w:rsidP="009E1F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525C">
              <w:rPr>
                <w:rFonts w:cstheme="minorHAnsi"/>
                <w:sz w:val="20"/>
                <w:szCs w:val="20"/>
              </w:rPr>
              <w:t>Min. 2 porty USB na przednim lub tylnym panelu</w:t>
            </w:r>
          </w:p>
        </w:tc>
      </w:tr>
      <w:tr w:rsidR="00FD2530" w:rsidRPr="00A1525C" w14:paraId="7200E3A3" w14:textId="77777777" w:rsidTr="009F5800">
        <w:trPr>
          <w:trHeight w:val="4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45E01" w14:textId="1D20F222" w:rsidR="00FD2530" w:rsidRPr="00DD4B4F" w:rsidRDefault="00742495" w:rsidP="009E1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58C7" w14:textId="735EB46A" w:rsidR="00FD2530" w:rsidRDefault="00A1525C" w:rsidP="009E1F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B36B" w14:textId="4337757A" w:rsidR="00FD2530" w:rsidRPr="00A1525C" w:rsidRDefault="00A1525C" w:rsidP="009E1F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525C">
              <w:rPr>
                <w:rFonts w:cstheme="minorHAnsi"/>
                <w:sz w:val="20"/>
                <w:szCs w:val="20"/>
              </w:rPr>
              <w:t>Wbudowan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A1525C">
              <w:rPr>
                <w:rFonts w:cstheme="minorHAnsi"/>
                <w:sz w:val="20"/>
                <w:szCs w:val="20"/>
              </w:rPr>
              <w:t xml:space="preserve"> czytnik SATA DVD D</w:t>
            </w:r>
            <w:r>
              <w:rPr>
                <w:rFonts w:cstheme="minorHAnsi"/>
                <w:sz w:val="20"/>
                <w:szCs w:val="20"/>
              </w:rPr>
              <w:t>rive</w:t>
            </w:r>
            <w:bookmarkStart w:id="0" w:name="_GoBack"/>
            <w:r w:rsidR="00623D33">
              <w:rPr>
                <w:rFonts w:cstheme="minorHAnsi"/>
                <w:sz w:val="20"/>
                <w:szCs w:val="20"/>
              </w:rPr>
              <w:t xml:space="preserve"> </w:t>
            </w:r>
            <w:r w:rsidR="00623D33" w:rsidRPr="005B4E3E">
              <w:rPr>
                <w:rFonts w:cstheme="minorHAnsi"/>
                <w:sz w:val="20"/>
                <w:szCs w:val="20"/>
              </w:rPr>
              <w:t>lub zewnętrzny czytnik DVD podłączony przez USB.</w:t>
            </w:r>
            <w:bookmarkEnd w:id="0"/>
          </w:p>
        </w:tc>
      </w:tr>
      <w:tr w:rsidR="00FD2530" w:rsidRPr="00A1525C" w14:paraId="05930F79" w14:textId="77777777" w:rsidTr="009F5800">
        <w:trPr>
          <w:trHeight w:val="4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D9B4A" w14:textId="13F5B395" w:rsidR="00FD2530" w:rsidRPr="00DD4B4F" w:rsidRDefault="00742495" w:rsidP="009E1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F47" w14:textId="7B4B699C" w:rsidR="00FD2530" w:rsidRDefault="00A1525C" w:rsidP="009E1F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Grafika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C5E1" w14:textId="694F784E" w:rsidR="00FD2530" w:rsidRPr="00A1525C" w:rsidRDefault="00A1525C" w:rsidP="009E1F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Zintegrowana karta graficzna, rozdzielczość min. 1280x1024, wyjście Video na przednim lub tylnym panelu</w:t>
            </w:r>
            <w:r w:rsidR="008D5D1D">
              <w:rPr>
                <w:rFonts w:cstheme="minorHAnsi"/>
                <w:sz w:val="20"/>
                <w:szCs w:val="20"/>
              </w:rPr>
              <w:t xml:space="preserve"> (VGA lub HDMI lub DP).</w:t>
            </w:r>
          </w:p>
        </w:tc>
      </w:tr>
      <w:tr w:rsidR="00FD2530" w:rsidRPr="00A1525C" w14:paraId="7D521EE4" w14:textId="77777777" w:rsidTr="009F5800">
        <w:trPr>
          <w:trHeight w:val="4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C4E2C" w14:textId="53F71B91" w:rsidR="00FD2530" w:rsidRPr="00DD4B4F" w:rsidRDefault="00742495" w:rsidP="009E1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D6A8" w14:textId="0DF2AB01" w:rsidR="00FD2530" w:rsidRDefault="008D5D1D" w:rsidP="009E1F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Karta zarządzająca serwerem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2C2B" w14:textId="77777777" w:rsidR="008D5D1D" w:rsidRPr="008D5D1D" w:rsidRDefault="008D5D1D" w:rsidP="008D5D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 xml:space="preserve">Serwer musi być wyposażony w kartę zdalnego zarządzania (konsoli) wyposażoną w dedykowaną lub współdzieloną kartę sieciową 1 </w:t>
            </w:r>
            <w:proofErr w:type="spellStart"/>
            <w:r w:rsidRPr="008D5D1D">
              <w:rPr>
                <w:rFonts w:cstheme="minorHAnsi"/>
                <w:sz w:val="20"/>
                <w:szCs w:val="20"/>
              </w:rPr>
              <w:t>Gb</w:t>
            </w:r>
            <w:proofErr w:type="spellEnd"/>
            <w:r w:rsidRPr="008D5D1D">
              <w:rPr>
                <w:rFonts w:cstheme="minorHAnsi"/>
                <w:sz w:val="20"/>
                <w:szCs w:val="20"/>
              </w:rPr>
              <w:t xml:space="preserve"> pozwalającą na:</w:t>
            </w:r>
          </w:p>
          <w:p w14:paraId="17E05EC4" w14:textId="77777777" w:rsidR="008D5D1D" w:rsidRPr="008D5D1D" w:rsidRDefault="008D5D1D" w:rsidP="008D5D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 xml:space="preserve">włączenie, wyłączenie i restart serwera, podgląd logów sprzętowych serwera i karty, przejęcie pełnej konsoli tekstowej serwera niezależnie od jego stanu (także podczas startu, restartu OS). Karta musi także umożliwiać przejęcie zdalnej konsoli graficznej i podłączanie wirtualnych napędów CD/DVD/ISO, USB i FDD. </w:t>
            </w:r>
          </w:p>
          <w:p w14:paraId="171AE1B8" w14:textId="118BD3E2" w:rsidR="00FD2530" w:rsidRPr="00A1525C" w:rsidRDefault="008D5D1D" w:rsidP="00621C2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 xml:space="preserve">Rozwiązanie sprzętowe, niezależne od systemów operacyjnych, zintegrowane z płytą główną </w:t>
            </w:r>
            <w:r w:rsidRPr="00EC5704">
              <w:rPr>
                <w:rFonts w:cstheme="minorHAnsi"/>
                <w:sz w:val="20"/>
                <w:szCs w:val="20"/>
              </w:rPr>
              <w:t>lub jako karta zainstalowana w gnieździe dedykowanym/PCI</w:t>
            </w:r>
            <w:r w:rsidR="002678D3" w:rsidRPr="00EC5704">
              <w:rPr>
                <w:rFonts w:cstheme="minorHAnsi"/>
                <w:sz w:val="20"/>
                <w:szCs w:val="20"/>
              </w:rPr>
              <w:t>,</w:t>
            </w:r>
            <w:r w:rsidR="00EC5704" w:rsidRPr="00EC5704">
              <w:rPr>
                <w:rFonts w:cstheme="minorHAnsi"/>
                <w:sz w:val="20"/>
                <w:szCs w:val="20"/>
              </w:rPr>
              <w:t xml:space="preserve"> wyposażone w niezbędne oprogramowanie standardowe zapewniające Zamawiającemu możliwość wyżej opisanego zarządzania</w:t>
            </w:r>
            <w:r w:rsidRPr="00EC570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D5D1D" w:rsidRPr="00A1525C" w14:paraId="6FDD112A" w14:textId="77777777" w:rsidTr="009F5800">
        <w:trPr>
          <w:trHeight w:val="4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80D4D" w14:textId="49E96B9B" w:rsidR="008D5D1D" w:rsidRPr="00DD4B4F" w:rsidRDefault="00742495" w:rsidP="009E1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128B" w14:textId="396EEA98" w:rsidR="008D5D1D" w:rsidRDefault="008D5D1D" w:rsidP="009E1F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A323" w14:textId="0AC80675" w:rsidR="008D5D1D" w:rsidRDefault="008D5D1D" w:rsidP="008D5D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Dwa redundantne zasilacze hot-plug </w:t>
            </w:r>
            <w:r w:rsidRPr="00DD4B4F">
              <w:rPr>
                <w:rFonts w:cstheme="minorHAnsi"/>
                <w:sz w:val="20"/>
                <w:szCs w:val="20"/>
              </w:rPr>
              <w:t>AC/DC 230V 60/50 </w:t>
            </w:r>
            <w:proofErr w:type="spellStart"/>
            <w:r w:rsidRPr="00DD4B4F">
              <w:rPr>
                <w:rFonts w:cstheme="minorHAnsi"/>
                <w:sz w:val="20"/>
                <w:szCs w:val="20"/>
              </w:rPr>
              <w:t>Hz</w:t>
            </w:r>
            <w:proofErr w:type="spellEnd"/>
            <w:r>
              <w:rPr>
                <w:rFonts w:cstheme="minorHAnsi"/>
                <w:sz w:val="20"/>
                <w:szCs w:val="20"/>
              </w:rPr>
              <w:t>, każdy o mocy min. 500W.</w:t>
            </w:r>
          </w:p>
          <w:p w14:paraId="32FB5AF4" w14:textId="1CE34990" w:rsidR="008D5D1D" w:rsidRPr="008D5D1D" w:rsidRDefault="008D5D1D" w:rsidP="008D5D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Dostarczone kable połączeniowe.</w:t>
            </w:r>
          </w:p>
        </w:tc>
      </w:tr>
      <w:tr w:rsidR="008D5D1D" w:rsidRPr="00A1525C" w14:paraId="3584BC04" w14:textId="77777777" w:rsidTr="009F5800">
        <w:trPr>
          <w:trHeight w:val="4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56D4A" w14:textId="1AD202A9" w:rsidR="008D5D1D" w:rsidRPr="00DD4B4F" w:rsidRDefault="00742495" w:rsidP="009E1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8035" w14:textId="42CFEC5F" w:rsidR="008D5D1D" w:rsidRDefault="008D5D1D" w:rsidP="009E1F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1ED6" w14:textId="074D6552" w:rsidR="008D5D1D" w:rsidRPr="008D5D1D" w:rsidRDefault="008D5D1D" w:rsidP="008D5D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 xml:space="preserve">Obudowa umożliwiająca montaż w standardowej szafie typu </w:t>
            </w:r>
            <w:r>
              <w:rPr>
                <w:rFonts w:cstheme="minorHAnsi"/>
                <w:sz w:val="20"/>
                <w:szCs w:val="20"/>
              </w:rPr>
              <w:t>RACK</w:t>
            </w:r>
            <w:r w:rsidRPr="008D5D1D">
              <w:rPr>
                <w:rFonts w:cstheme="minorHAnsi"/>
                <w:sz w:val="20"/>
                <w:szCs w:val="20"/>
              </w:rPr>
              <w:t xml:space="preserve"> 19”. Wysokość serwera </w:t>
            </w:r>
            <w:r>
              <w:rPr>
                <w:rFonts w:cstheme="minorHAnsi"/>
                <w:sz w:val="20"/>
                <w:szCs w:val="20"/>
              </w:rPr>
              <w:t>1U lub</w:t>
            </w:r>
            <w:r w:rsidRPr="008D5D1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8D5D1D">
              <w:rPr>
                <w:rFonts w:cstheme="minorHAnsi"/>
                <w:sz w:val="20"/>
                <w:szCs w:val="20"/>
              </w:rPr>
              <w:t>U.</w:t>
            </w:r>
          </w:p>
          <w:p w14:paraId="7CD9404D" w14:textId="67D407FD" w:rsidR="008D5D1D" w:rsidRPr="008D5D1D" w:rsidRDefault="008D5D1D" w:rsidP="008D5D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 xml:space="preserve">W zestawie szyny </w:t>
            </w:r>
            <w:r>
              <w:rPr>
                <w:rFonts w:cstheme="minorHAnsi"/>
                <w:sz w:val="20"/>
                <w:szCs w:val="20"/>
              </w:rPr>
              <w:t xml:space="preserve">statyczne lub ruchome </w:t>
            </w:r>
            <w:r w:rsidRPr="008D5D1D">
              <w:rPr>
                <w:rFonts w:cstheme="minorHAnsi"/>
                <w:sz w:val="20"/>
                <w:szCs w:val="20"/>
              </w:rPr>
              <w:t>umożliwiające zamontowanie serwera w szafie.</w:t>
            </w:r>
          </w:p>
        </w:tc>
      </w:tr>
      <w:tr w:rsidR="008D5D1D" w:rsidRPr="00A1525C" w14:paraId="1EA0D681" w14:textId="77777777" w:rsidTr="009F5800">
        <w:trPr>
          <w:trHeight w:val="4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B734A" w14:textId="05BCCFB6" w:rsidR="008D5D1D" w:rsidRPr="00DD4B4F" w:rsidRDefault="00742495" w:rsidP="009E1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B4B9" w14:textId="0D43F1B1" w:rsidR="008D5D1D" w:rsidRDefault="008D5D1D" w:rsidP="009E1F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Gwarancja NBD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1179" w14:textId="3D438551" w:rsidR="008D5D1D" w:rsidRPr="008D5D1D" w:rsidRDefault="008D5D1D" w:rsidP="008D5D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>Czas trwania obowiązków gwaranc</w:t>
            </w:r>
            <w:r w:rsidR="00EB3401">
              <w:rPr>
                <w:rFonts w:cstheme="minorHAnsi"/>
                <w:sz w:val="20"/>
                <w:szCs w:val="20"/>
              </w:rPr>
              <w:t>yjnych</w:t>
            </w:r>
            <w:r w:rsidRPr="008D5D1D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49963B01" w14:textId="31DEAC9B" w:rsidR="008D5D1D" w:rsidRPr="008D5D1D" w:rsidRDefault="008D5D1D" w:rsidP="008D5D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92DF4">
              <w:rPr>
                <w:rFonts w:cstheme="minorHAnsi"/>
                <w:sz w:val="20"/>
                <w:szCs w:val="20"/>
              </w:rPr>
              <w:t>min. 36 miesięcy w miejscu eksploatacji z czasem naprawy następnego dnia roboczego NBD</w:t>
            </w:r>
            <w:r w:rsidRPr="008D5D1D">
              <w:rPr>
                <w:rFonts w:cstheme="minorHAnsi"/>
                <w:sz w:val="20"/>
                <w:szCs w:val="20"/>
              </w:rPr>
              <w:t xml:space="preserve"> (9x5</w:t>
            </w:r>
            <w:r w:rsidR="00D23479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3626C5B" w14:textId="77777777" w:rsidR="008D5D1D" w:rsidRPr="008D5D1D" w:rsidRDefault="008D5D1D" w:rsidP="008D5D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2DC0B0E" w14:textId="7683FC14" w:rsidR="008D5D1D" w:rsidRPr="008D5D1D" w:rsidRDefault="008D5D1D" w:rsidP="008D5D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>Serwer musi pochodzić z autoryzowanego kanału dystrybucji producenta i być objęty serwisem producenta na terenie Polski</w:t>
            </w:r>
            <w:r w:rsidR="00EE7669">
              <w:rPr>
                <w:rFonts w:cstheme="minorHAnsi"/>
                <w:sz w:val="20"/>
                <w:szCs w:val="20"/>
              </w:rPr>
              <w:t>,</w:t>
            </w:r>
            <w:r w:rsidRPr="008D5D1D">
              <w:rPr>
                <w:rFonts w:cstheme="minorHAnsi"/>
                <w:sz w:val="20"/>
                <w:szCs w:val="20"/>
              </w:rPr>
              <w:t xml:space="preserve"> a wsparcie techniczne producenta będzie obsługiwane  w języku polskim.</w:t>
            </w:r>
          </w:p>
        </w:tc>
      </w:tr>
      <w:tr w:rsidR="008D5D1D" w:rsidRPr="00A1525C" w14:paraId="112958E3" w14:textId="77777777" w:rsidTr="009F5800">
        <w:trPr>
          <w:trHeight w:val="4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C4322" w14:textId="46908F7A" w:rsidR="008D5D1D" w:rsidRPr="00DD4B4F" w:rsidRDefault="00742495" w:rsidP="009E1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51BD" w14:textId="0FF26F77" w:rsidR="008D5D1D" w:rsidRDefault="00EE7669" w:rsidP="009E1F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5FBC" w14:textId="67EA7CDF" w:rsidR="008D5D1D" w:rsidRPr="008D5D1D" w:rsidRDefault="00EE7669" w:rsidP="008D5D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E7669">
              <w:rPr>
                <w:rFonts w:cstheme="minorHAnsi"/>
                <w:sz w:val="20"/>
                <w:szCs w:val="20"/>
              </w:rPr>
              <w:t xml:space="preserve">Dostęp do aktualnych sterowników zainstalowanych w </w:t>
            </w:r>
            <w:r w:rsidR="00D23479">
              <w:rPr>
                <w:rFonts w:cstheme="minorHAnsi"/>
                <w:sz w:val="20"/>
                <w:szCs w:val="20"/>
              </w:rPr>
              <w:t>serwerze</w:t>
            </w:r>
            <w:r w:rsidRPr="00EE7669">
              <w:rPr>
                <w:rFonts w:cstheme="minorHAnsi"/>
                <w:sz w:val="20"/>
                <w:szCs w:val="20"/>
              </w:rPr>
              <w:t xml:space="preserve"> urządzeń, realizowany poprzez podanie identyfikatora klienta, modelu </w:t>
            </w:r>
            <w:r w:rsidR="00D23479">
              <w:rPr>
                <w:rFonts w:cstheme="minorHAnsi"/>
                <w:sz w:val="20"/>
                <w:szCs w:val="20"/>
              </w:rPr>
              <w:t>serwera</w:t>
            </w:r>
            <w:r w:rsidRPr="00EE7669">
              <w:rPr>
                <w:rFonts w:cstheme="minorHAnsi"/>
                <w:sz w:val="20"/>
                <w:szCs w:val="20"/>
              </w:rPr>
              <w:t xml:space="preserve"> lub numeru seryjnego </w:t>
            </w:r>
            <w:r w:rsidR="00D23479">
              <w:rPr>
                <w:rFonts w:cstheme="minorHAnsi"/>
                <w:sz w:val="20"/>
                <w:szCs w:val="20"/>
              </w:rPr>
              <w:t>serwera</w:t>
            </w:r>
            <w:r w:rsidRPr="00EE7669">
              <w:rPr>
                <w:rFonts w:cstheme="minorHAnsi"/>
                <w:sz w:val="20"/>
                <w:szCs w:val="20"/>
              </w:rPr>
              <w:t>, na dedykowanej przez producenta stronie internetowej.</w:t>
            </w:r>
          </w:p>
        </w:tc>
      </w:tr>
      <w:tr w:rsidR="00EE7669" w:rsidRPr="00A1525C" w14:paraId="519D6A7D" w14:textId="77777777" w:rsidTr="009F5800">
        <w:trPr>
          <w:trHeight w:val="4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75FA5" w14:textId="29C5689B" w:rsidR="00EE7669" w:rsidRPr="00DD4B4F" w:rsidRDefault="00742495" w:rsidP="009E1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2159" w14:textId="5BFD7B94" w:rsidR="00EE7669" w:rsidRDefault="00EE7669" w:rsidP="009E1F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Wsparcie dla systemów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wirtualizacyjnych</w:t>
            </w:r>
            <w:proofErr w:type="spellEnd"/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1618" w14:textId="2719F8DA" w:rsidR="00EE7669" w:rsidRPr="008D5D1D" w:rsidRDefault="00EE7669" w:rsidP="00EC570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Pełne wsparcie dla </w:t>
            </w:r>
            <w:r w:rsidR="00EC5704">
              <w:rPr>
                <w:rFonts w:cstheme="minorHAnsi"/>
                <w:sz w:val="20"/>
                <w:szCs w:val="20"/>
              </w:rPr>
              <w:t>zamawi</w:t>
            </w:r>
            <w:r w:rsidR="00391654">
              <w:rPr>
                <w:rFonts w:cstheme="minorHAnsi"/>
                <w:sz w:val="20"/>
                <w:szCs w:val="20"/>
              </w:rPr>
              <w:t xml:space="preserve">anego przez Zamawiającego </w:t>
            </w:r>
            <w:r w:rsidR="00EC5704">
              <w:rPr>
                <w:rFonts w:cstheme="minorHAnsi"/>
                <w:sz w:val="20"/>
                <w:szCs w:val="20"/>
              </w:rPr>
              <w:t>O</w:t>
            </w:r>
            <w:r w:rsidR="00391654">
              <w:rPr>
                <w:rFonts w:cstheme="minorHAnsi"/>
                <w:sz w:val="20"/>
                <w:szCs w:val="20"/>
              </w:rPr>
              <w:t xml:space="preserve">programowania </w:t>
            </w:r>
            <w:proofErr w:type="spellStart"/>
            <w:r w:rsidR="002E6DBA">
              <w:rPr>
                <w:rFonts w:cstheme="minorHAnsi"/>
                <w:sz w:val="20"/>
                <w:szCs w:val="20"/>
              </w:rPr>
              <w:t>wirtualizacyjnego</w:t>
            </w:r>
            <w:proofErr w:type="spellEnd"/>
            <w:r w:rsidR="002E6DB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42495" w:rsidRPr="00A1525C" w14:paraId="54873140" w14:textId="77777777" w:rsidTr="009F5800">
        <w:trPr>
          <w:trHeight w:val="41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39D33" w14:textId="154AC3E0" w:rsidR="00742495" w:rsidRPr="00DD4B4F" w:rsidRDefault="00742495" w:rsidP="009E1FC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79F5" w14:textId="1C74CAC3" w:rsidR="00742495" w:rsidRDefault="00742495" w:rsidP="009E1FC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Kompatybilność z macierzą </w:t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69F8" w14:textId="6E73FE43" w:rsidR="00742495" w:rsidRDefault="00742495" w:rsidP="008D5D1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Serwer w pełni kompatybilny z macierzą dyskową zaoferowaną w niniejszym postępowaniu.</w:t>
            </w:r>
          </w:p>
        </w:tc>
      </w:tr>
    </w:tbl>
    <w:p w14:paraId="65471115" w14:textId="77777777" w:rsidR="000E057E" w:rsidRDefault="000E057E" w:rsidP="000E057E">
      <w:pPr>
        <w:pStyle w:val="Akapitzlist"/>
        <w:spacing w:after="0" w:line="240" w:lineRule="auto"/>
        <w:ind w:left="426"/>
        <w:jc w:val="both"/>
        <w:rPr>
          <w:rFonts w:cstheme="minorHAnsi"/>
          <w:b/>
        </w:rPr>
      </w:pPr>
    </w:p>
    <w:p w14:paraId="5090D3C6" w14:textId="029BD431" w:rsidR="00D34FD2" w:rsidRDefault="009F5800" w:rsidP="009D4F5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zamierza przeznaczyć maksymalnie ok. 3</w:t>
      </w:r>
      <w:r w:rsidR="002E6DBA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 000 PLN netto na jeden serwer.</w:t>
      </w:r>
    </w:p>
    <w:p w14:paraId="7C06F8AD" w14:textId="0D88F947" w:rsidR="009F5800" w:rsidRDefault="009F5800" w:rsidP="009D4F51">
      <w:pPr>
        <w:spacing w:after="0" w:line="240" w:lineRule="auto"/>
        <w:rPr>
          <w:rFonts w:cstheme="minorHAnsi"/>
          <w:sz w:val="20"/>
          <w:szCs w:val="20"/>
        </w:rPr>
      </w:pPr>
    </w:p>
    <w:p w14:paraId="5ACFDFD3" w14:textId="73CA82FB" w:rsidR="00562819" w:rsidRDefault="00562819" w:rsidP="009D4F51">
      <w:pPr>
        <w:spacing w:after="0" w:line="240" w:lineRule="auto"/>
        <w:rPr>
          <w:rFonts w:cstheme="minorHAnsi"/>
          <w:sz w:val="20"/>
          <w:szCs w:val="20"/>
        </w:rPr>
      </w:pPr>
    </w:p>
    <w:p w14:paraId="259442F1" w14:textId="43D8E2A1" w:rsidR="00562819" w:rsidRDefault="00562819" w:rsidP="009D4F51">
      <w:pPr>
        <w:spacing w:after="0" w:line="240" w:lineRule="auto"/>
        <w:rPr>
          <w:rFonts w:cstheme="minorHAnsi"/>
          <w:sz w:val="20"/>
          <w:szCs w:val="20"/>
        </w:rPr>
      </w:pPr>
    </w:p>
    <w:p w14:paraId="727B1479" w14:textId="77777777" w:rsidR="00562819" w:rsidRDefault="00562819" w:rsidP="009D4F51">
      <w:pPr>
        <w:spacing w:after="0" w:line="240" w:lineRule="auto"/>
        <w:rPr>
          <w:rFonts w:cstheme="minorHAnsi"/>
          <w:sz w:val="20"/>
          <w:szCs w:val="20"/>
        </w:rPr>
      </w:pPr>
    </w:p>
    <w:p w14:paraId="27D54DA3" w14:textId="2EF59E5C" w:rsidR="00742495" w:rsidRDefault="00742495" w:rsidP="00742495">
      <w:pPr>
        <w:pStyle w:val="Akapitzlist"/>
        <w:spacing w:after="0" w:line="240" w:lineRule="auto"/>
        <w:ind w:left="426"/>
        <w:jc w:val="center"/>
        <w:rPr>
          <w:rFonts w:cstheme="minorHAnsi"/>
          <w:b/>
        </w:rPr>
      </w:pPr>
      <w:r w:rsidRPr="00371069">
        <w:rPr>
          <w:rFonts w:cstheme="minorHAnsi"/>
          <w:b/>
        </w:rPr>
        <w:lastRenderedPageBreak/>
        <w:t xml:space="preserve">Zestawienie </w:t>
      </w:r>
      <w:r>
        <w:rPr>
          <w:rFonts w:cstheme="minorHAnsi"/>
          <w:b/>
        </w:rPr>
        <w:t xml:space="preserve">minimalnych </w:t>
      </w:r>
      <w:r w:rsidRPr="00371069">
        <w:rPr>
          <w:rFonts w:cstheme="minorHAnsi"/>
          <w:b/>
        </w:rPr>
        <w:t>parametrów technicznych wymaganych</w:t>
      </w:r>
      <w:r>
        <w:rPr>
          <w:rFonts w:cstheme="minorHAnsi"/>
          <w:b/>
        </w:rPr>
        <w:t xml:space="preserve"> odnośnie macierzy dyskowej dla serwerów maszyn wirtualnych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568"/>
        <w:gridCol w:w="7025"/>
      </w:tblGrid>
      <w:tr w:rsidR="00742495" w:rsidRPr="00DD4B4F" w14:paraId="01495AC1" w14:textId="77777777" w:rsidTr="00C16E0A">
        <w:trPr>
          <w:trHeight w:val="587"/>
          <w:tblHeader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3D101C2A" w14:textId="77777777" w:rsidR="00742495" w:rsidRPr="00DD4B4F" w:rsidRDefault="00742495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2E1548B5" w14:textId="77777777" w:rsidR="00742495" w:rsidRPr="00DD4B4F" w:rsidRDefault="00742495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01930C3E" w14:textId="77777777" w:rsidR="00742495" w:rsidRPr="00DD4B4F" w:rsidRDefault="00742495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Minimalne w</w:t>
            </w:r>
            <w:r w:rsidRPr="00DD4B4F">
              <w:rPr>
                <w:rFonts w:cstheme="minorHAnsi"/>
                <w:b/>
                <w:bCs/>
                <w:sz w:val="20"/>
                <w:szCs w:val="20"/>
              </w:rPr>
              <w:t>artości wymagane przez Zamawiającego</w:t>
            </w:r>
          </w:p>
        </w:tc>
      </w:tr>
      <w:tr w:rsidR="00742495" w:rsidRPr="00DD4B4F" w14:paraId="4E7CA851" w14:textId="77777777" w:rsidTr="00C16E0A">
        <w:trPr>
          <w:trHeight w:val="30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762B4260" w14:textId="77777777" w:rsidR="00742495" w:rsidRPr="00DD4B4F" w:rsidRDefault="00742495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749E6547" w14:textId="77777777" w:rsidR="00742495" w:rsidRPr="00DD4B4F" w:rsidRDefault="00742495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7BA044CF" w14:textId="77777777" w:rsidR="00742495" w:rsidRPr="00DD4B4F" w:rsidRDefault="00742495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742495" w:rsidRPr="00DD4B4F" w14:paraId="072C9CDD" w14:textId="77777777" w:rsidTr="00C16E0A">
        <w:trPr>
          <w:trHeight w:val="47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213A7" w14:textId="70491960" w:rsidR="00742495" w:rsidRPr="00DD4B4F" w:rsidRDefault="00742495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BA8C" w14:textId="56374D92" w:rsidR="00742495" w:rsidRPr="00DD4B4F" w:rsidRDefault="00742495" w:rsidP="0016293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3F18" w14:textId="16157E45" w:rsidR="00742495" w:rsidRPr="008D5D1D" w:rsidRDefault="00742495" w:rsidP="007424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 xml:space="preserve">Obudowa umożliwiająca montaż w standardowej szafie typu </w:t>
            </w:r>
            <w:r>
              <w:rPr>
                <w:rFonts w:cstheme="minorHAnsi"/>
                <w:sz w:val="20"/>
                <w:szCs w:val="20"/>
              </w:rPr>
              <w:t>RACK</w:t>
            </w:r>
            <w:r w:rsidRPr="008D5D1D">
              <w:rPr>
                <w:rFonts w:cstheme="minorHAnsi"/>
                <w:sz w:val="20"/>
                <w:szCs w:val="20"/>
              </w:rPr>
              <w:t xml:space="preserve"> 19”. Wysokość </w:t>
            </w:r>
            <w:r>
              <w:rPr>
                <w:rFonts w:cstheme="minorHAnsi"/>
                <w:sz w:val="20"/>
                <w:szCs w:val="20"/>
              </w:rPr>
              <w:t>macierzy</w:t>
            </w:r>
            <w:r w:rsidRPr="008D5D1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maks. 2</w:t>
            </w:r>
            <w:r w:rsidRPr="008D5D1D">
              <w:rPr>
                <w:rFonts w:cstheme="minorHAnsi"/>
                <w:sz w:val="20"/>
                <w:szCs w:val="20"/>
              </w:rPr>
              <w:t>U.</w:t>
            </w:r>
          </w:p>
          <w:p w14:paraId="71A94E45" w14:textId="3F2D1CEA" w:rsidR="00742495" w:rsidRDefault="00742495" w:rsidP="007424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 xml:space="preserve">W zestawie szyny </w:t>
            </w:r>
            <w:r>
              <w:rPr>
                <w:rFonts w:cstheme="minorHAnsi"/>
                <w:sz w:val="20"/>
                <w:szCs w:val="20"/>
              </w:rPr>
              <w:t xml:space="preserve">statyczne lub ruchome </w:t>
            </w:r>
            <w:r w:rsidRPr="008D5D1D">
              <w:rPr>
                <w:rFonts w:cstheme="minorHAnsi"/>
                <w:sz w:val="20"/>
                <w:szCs w:val="20"/>
              </w:rPr>
              <w:t>umożliwiające zamontowanie serwera w szafie.</w:t>
            </w:r>
          </w:p>
        </w:tc>
      </w:tr>
      <w:tr w:rsidR="00742495" w:rsidRPr="00DD4B4F" w14:paraId="0D0C4939" w14:textId="77777777" w:rsidTr="00C16E0A">
        <w:trPr>
          <w:trHeight w:val="23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A7E0F" w14:textId="3F5F7023" w:rsidR="00742495" w:rsidRPr="00DD4B4F" w:rsidRDefault="005D130E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F2FF" w14:textId="57BB6F01" w:rsidR="00742495" w:rsidRPr="00DD4B4F" w:rsidRDefault="00B62B9E" w:rsidP="0016293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Kontroler macierzy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E98B" w14:textId="0AF0E46E" w:rsidR="00742495" w:rsidRPr="00DD4B4F" w:rsidRDefault="00B62B9E" w:rsidP="001629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2 kontrolery macierzy</w:t>
            </w:r>
            <w:r w:rsidR="002E6DB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42495" w:rsidRPr="00967EC6" w14:paraId="63DA5F18" w14:textId="77777777" w:rsidTr="00C16E0A">
        <w:trPr>
          <w:trHeight w:val="28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1CD60" w14:textId="4B5DB6B8" w:rsidR="00742495" w:rsidRPr="00DD4B4F" w:rsidRDefault="005D130E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A228" w14:textId="78F82473" w:rsidR="00742495" w:rsidRPr="00DD4B4F" w:rsidRDefault="00967EC6" w:rsidP="0016293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Interfejs FC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C0E8" w14:textId="3B2C418E" w:rsidR="00742495" w:rsidRPr="00967EC6" w:rsidRDefault="00967EC6" w:rsidP="001629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67EC6">
              <w:rPr>
                <w:rFonts w:cstheme="minorHAnsi"/>
                <w:sz w:val="20"/>
                <w:szCs w:val="20"/>
              </w:rPr>
              <w:t xml:space="preserve">2 porty </w:t>
            </w:r>
            <w:proofErr w:type="spellStart"/>
            <w:r w:rsidRPr="00967EC6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967EC6">
              <w:rPr>
                <w:rFonts w:cstheme="minorHAnsi"/>
                <w:sz w:val="20"/>
                <w:szCs w:val="20"/>
              </w:rPr>
              <w:t>bre</w:t>
            </w:r>
            <w:proofErr w:type="spellEnd"/>
            <w:r w:rsidRPr="00967EC6">
              <w:rPr>
                <w:rFonts w:cstheme="minorHAnsi"/>
                <w:sz w:val="20"/>
                <w:szCs w:val="20"/>
              </w:rPr>
              <w:t xml:space="preserve"> Channel </w:t>
            </w:r>
            <w:r>
              <w:rPr>
                <w:rFonts w:cstheme="minorHAnsi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cstheme="minorHAnsi"/>
                <w:sz w:val="20"/>
                <w:szCs w:val="20"/>
              </w:rPr>
              <w:t>Gb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/s </w:t>
            </w:r>
            <w:r w:rsidRPr="00967EC6">
              <w:rPr>
                <w:rFonts w:cstheme="minorHAnsi"/>
                <w:sz w:val="20"/>
                <w:szCs w:val="20"/>
              </w:rPr>
              <w:t>na ka</w:t>
            </w:r>
            <w:r>
              <w:rPr>
                <w:rFonts w:cstheme="minorHAnsi"/>
                <w:sz w:val="20"/>
                <w:szCs w:val="20"/>
              </w:rPr>
              <w:t>żdym kontrolerze macierzy</w:t>
            </w:r>
          </w:p>
        </w:tc>
      </w:tr>
      <w:tr w:rsidR="00742495" w:rsidRPr="00967EC6" w14:paraId="13048ECE" w14:textId="77777777" w:rsidTr="00C16E0A">
        <w:trPr>
          <w:trHeight w:val="43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EFB40" w14:textId="6537A009" w:rsidR="00742495" w:rsidRPr="00967EC6" w:rsidRDefault="005D130E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B6CA" w14:textId="170ACCBC" w:rsidR="00742495" w:rsidRPr="00967EC6" w:rsidRDefault="00967EC6" w:rsidP="0016293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Pamięć cache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5CD8" w14:textId="65F14099" w:rsidR="00742495" w:rsidRPr="00967EC6" w:rsidRDefault="00967EC6" w:rsidP="001629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GB pamięci cache na każdym kontrolerze</w:t>
            </w:r>
          </w:p>
        </w:tc>
      </w:tr>
      <w:tr w:rsidR="00742495" w:rsidRPr="00831A78" w14:paraId="3048C94B" w14:textId="77777777" w:rsidTr="00C16E0A">
        <w:trPr>
          <w:trHeight w:val="430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7417D" w14:textId="22036864" w:rsidR="00742495" w:rsidRPr="00967EC6" w:rsidRDefault="005D130E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2B48" w14:textId="0BEF5FC7" w:rsidR="00742495" w:rsidRPr="00DD4B4F" w:rsidRDefault="00967EC6" w:rsidP="0016293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Ilość dysków możliwa do zamontowania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3EF3" w14:textId="137A2C7B" w:rsidR="00742495" w:rsidRDefault="00967EC6" w:rsidP="001629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 dysków </w:t>
            </w:r>
            <w:r w:rsidRPr="00967EC6">
              <w:rPr>
                <w:rFonts w:cstheme="minorHAnsi"/>
                <w:sz w:val="20"/>
                <w:szCs w:val="20"/>
              </w:rPr>
              <w:t>3.5’’</w:t>
            </w:r>
            <w:r>
              <w:rPr>
                <w:rFonts w:cstheme="minorHAnsi"/>
                <w:sz w:val="20"/>
                <w:szCs w:val="20"/>
              </w:rPr>
              <w:t xml:space="preserve"> typu Hot-Plug</w:t>
            </w:r>
          </w:p>
        </w:tc>
      </w:tr>
      <w:tr w:rsidR="00742495" w:rsidRPr="00DD4B4F" w14:paraId="2EEFE1E0" w14:textId="77777777" w:rsidTr="00C16E0A">
        <w:trPr>
          <w:trHeight w:val="41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F13FD" w14:textId="77C8861D" w:rsidR="00742495" w:rsidRPr="00DD4B4F" w:rsidRDefault="005D130E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D7A2" w14:textId="438E9222" w:rsidR="00742495" w:rsidRPr="00DD4B4F" w:rsidRDefault="00967EC6" w:rsidP="0016293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Wsparcie dla dysków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180A" w14:textId="77777777" w:rsidR="00742495" w:rsidRDefault="00967EC6" w:rsidP="001629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Wsparcie dla dysków typu SAS, NLSAS oraz SSD SAS</w:t>
            </w:r>
            <w:r w:rsidR="00544E69">
              <w:rPr>
                <w:rFonts w:cstheme="minorHAnsi"/>
                <w:sz w:val="20"/>
                <w:szCs w:val="20"/>
              </w:rPr>
              <w:t>.</w:t>
            </w:r>
          </w:p>
          <w:p w14:paraId="7FF32C1A" w14:textId="7C34B362" w:rsidR="00544E69" w:rsidRPr="00974F99" w:rsidRDefault="00544E69" w:rsidP="001629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Możliwość jednoczesnego zainstalowania różnych typów dysków.</w:t>
            </w:r>
          </w:p>
        </w:tc>
      </w:tr>
      <w:tr w:rsidR="00742495" w:rsidRPr="00967EC6" w14:paraId="283077BC" w14:textId="77777777" w:rsidTr="00C16E0A">
        <w:trPr>
          <w:trHeight w:val="41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90EBD" w14:textId="62CDF2CE" w:rsidR="00742495" w:rsidRPr="00DD4B4F" w:rsidRDefault="005D130E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43A0" w14:textId="3DB32F1D" w:rsidR="00742495" w:rsidRDefault="00DD1B47" w:rsidP="0016293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66FD" w14:textId="7A9D7257" w:rsidR="00DD1B47" w:rsidRDefault="00DD1B47" w:rsidP="00DD1B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Dwa redundantne zasilacze hot-plug </w:t>
            </w:r>
            <w:r w:rsidRPr="00DD4B4F">
              <w:rPr>
                <w:rFonts w:cstheme="minorHAnsi"/>
                <w:sz w:val="20"/>
                <w:szCs w:val="20"/>
              </w:rPr>
              <w:t xml:space="preserve">AC/DC 230V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DD4B4F">
              <w:rPr>
                <w:rFonts w:cstheme="minorHAnsi"/>
                <w:sz w:val="20"/>
                <w:szCs w:val="20"/>
              </w:rPr>
              <w:t>0/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DD4B4F">
              <w:rPr>
                <w:rFonts w:cstheme="minorHAnsi"/>
                <w:sz w:val="20"/>
                <w:szCs w:val="20"/>
              </w:rPr>
              <w:t>0 </w:t>
            </w:r>
            <w:proofErr w:type="spellStart"/>
            <w:r w:rsidRPr="00DD4B4F">
              <w:rPr>
                <w:rFonts w:cstheme="minorHAnsi"/>
                <w:sz w:val="20"/>
                <w:szCs w:val="20"/>
              </w:rPr>
              <w:t>Hz</w:t>
            </w:r>
            <w:proofErr w:type="spellEnd"/>
            <w:r>
              <w:rPr>
                <w:rFonts w:cstheme="minorHAnsi"/>
                <w:sz w:val="20"/>
                <w:szCs w:val="20"/>
              </w:rPr>
              <w:t>, każdy o mocy min. 550W.</w:t>
            </w:r>
          </w:p>
          <w:p w14:paraId="0538741D" w14:textId="75588780" w:rsidR="00DD1B47" w:rsidRDefault="00DD1B47" w:rsidP="00DD1B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Min. 1 zasilacz per kontroler macierzy.</w:t>
            </w:r>
          </w:p>
          <w:p w14:paraId="536A183B" w14:textId="3813CBE8" w:rsidR="00742495" w:rsidRPr="00967EC6" w:rsidRDefault="00DD1B47" w:rsidP="00DD1B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Dostarczone kable połączeniowe.</w:t>
            </w:r>
          </w:p>
        </w:tc>
      </w:tr>
      <w:tr w:rsidR="00544E69" w:rsidRPr="00967EC6" w14:paraId="5C00BB16" w14:textId="77777777" w:rsidTr="00C16E0A">
        <w:trPr>
          <w:trHeight w:val="41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1465F" w14:textId="11E8B4D0" w:rsidR="00544E69" w:rsidRPr="00DD4B4F" w:rsidRDefault="005D130E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67E0" w14:textId="0FAEF870" w:rsidR="00544E69" w:rsidRDefault="00DD1B47" w:rsidP="0016293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Pojemność zainstalowanych dysków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F383" w14:textId="00615FF2" w:rsidR="00544E69" w:rsidRPr="00967EC6" w:rsidRDefault="00DD1B47" w:rsidP="001629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Zainstalowane min. 4 dyski typu NLSAS lub SAS o łącznej pojemności min. 60 TB</w:t>
            </w:r>
          </w:p>
        </w:tc>
      </w:tr>
      <w:tr w:rsidR="00544E69" w:rsidRPr="00967EC6" w14:paraId="3AFFE00A" w14:textId="77777777" w:rsidTr="00C16E0A">
        <w:trPr>
          <w:trHeight w:val="41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ADA57" w14:textId="276D3939" w:rsidR="00544E69" w:rsidRPr="00DD4B4F" w:rsidRDefault="005D130E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2002" w14:textId="2ADF32D9" w:rsidR="00544E69" w:rsidRDefault="00DD1B47" w:rsidP="0016293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Możliwość rozszerzenia macierzy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D5DA" w14:textId="7E5BA0A8" w:rsidR="00544E69" w:rsidRPr="00967EC6" w:rsidRDefault="00DD1B47" w:rsidP="001629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Zapewniona możliwość rozszerzenia pojemności macierzy w przyszłości poprzez dokupienie i podłączenie dedykowanej kompatybilnej półki dyskowej o parametrach: maks. 2U, w środku min. 12 dysków hot-plug.</w:t>
            </w:r>
          </w:p>
        </w:tc>
      </w:tr>
      <w:tr w:rsidR="00544E69" w:rsidRPr="00967EC6" w14:paraId="2984C95F" w14:textId="77777777" w:rsidTr="00C16E0A">
        <w:trPr>
          <w:trHeight w:val="41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96D87" w14:textId="24391940" w:rsidR="00544E69" w:rsidRPr="00DD4B4F" w:rsidRDefault="005D130E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9ED2" w14:textId="7BF4F2B5" w:rsidR="00544E69" w:rsidRDefault="00904B1E" w:rsidP="0016293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Interfejs zarządzający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C2C5" w14:textId="5FCB3CE1" w:rsidR="00C16E0A" w:rsidRPr="00967EC6" w:rsidRDefault="00904B1E" w:rsidP="00C16E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04B1E">
              <w:rPr>
                <w:rFonts w:cstheme="minorHAnsi"/>
                <w:sz w:val="20"/>
                <w:szCs w:val="20"/>
              </w:rPr>
              <w:t>Dedykowany interfejs web zapewniający szybką konfigurację oraz łatwe zarządzanie</w:t>
            </w:r>
            <w:r>
              <w:rPr>
                <w:rFonts w:cstheme="minorHAnsi"/>
                <w:sz w:val="20"/>
                <w:szCs w:val="20"/>
              </w:rPr>
              <w:t xml:space="preserve"> macierzą</w:t>
            </w:r>
            <w:r w:rsidR="00C16E0A">
              <w:rPr>
                <w:rFonts w:cstheme="minorHAnsi"/>
                <w:sz w:val="20"/>
                <w:szCs w:val="20"/>
              </w:rPr>
              <w:t xml:space="preserve">, pozwalające na </w:t>
            </w:r>
            <w:r w:rsidR="00C16E0A" w:rsidRPr="00C16E0A">
              <w:rPr>
                <w:rFonts w:cstheme="minorHAnsi"/>
                <w:sz w:val="20"/>
                <w:szCs w:val="20"/>
              </w:rPr>
              <w:t>monitorowanie i raportowanie wydajności poszczególnych komponentów macierzy, w tym co</w:t>
            </w:r>
            <w:r w:rsidR="00C16E0A">
              <w:rPr>
                <w:rFonts w:cstheme="minorHAnsi"/>
                <w:sz w:val="20"/>
                <w:szCs w:val="20"/>
              </w:rPr>
              <w:t xml:space="preserve"> </w:t>
            </w:r>
            <w:r w:rsidR="00C16E0A" w:rsidRPr="00C16E0A">
              <w:rPr>
                <w:rFonts w:cstheme="minorHAnsi"/>
                <w:sz w:val="20"/>
                <w:szCs w:val="20"/>
              </w:rPr>
              <w:t>najmniej: procesorów, pamięci cache, wolumenów logicznych, grup dyskowych, portów</w:t>
            </w:r>
            <w:r w:rsidR="00C16E0A">
              <w:rPr>
                <w:rFonts w:cstheme="minorHAnsi"/>
                <w:sz w:val="20"/>
                <w:szCs w:val="20"/>
              </w:rPr>
              <w:t xml:space="preserve"> </w:t>
            </w:r>
            <w:r w:rsidR="00C16E0A" w:rsidRPr="00C16E0A">
              <w:rPr>
                <w:rFonts w:cstheme="minorHAnsi"/>
                <w:sz w:val="20"/>
                <w:szCs w:val="20"/>
              </w:rPr>
              <w:t>zewnętrznych.</w:t>
            </w:r>
          </w:p>
        </w:tc>
      </w:tr>
      <w:tr w:rsidR="00544E69" w:rsidRPr="00967EC6" w14:paraId="5DD28D64" w14:textId="77777777" w:rsidTr="00C16E0A">
        <w:trPr>
          <w:trHeight w:val="41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E9BA4" w14:textId="3D8A620D" w:rsidR="00544E69" w:rsidRPr="00DD4B4F" w:rsidRDefault="005D130E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AC50" w14:textId="1A99DCD1" w:rsidR="00544E69" w:rsidRDefault="00C16E0A" w:rsidP="0016293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Wsparcie dla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VMware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vCenter</w:t>
            </w:r>
            <w:proofErr w:type="spellEnd"/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225A" w14:textId="7841CB04" w:rsidR="00544E69" w:rsidRPr="00967EC6" w:rsidRDefault="00C16E0A" w:rsidP="001629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Integracja za pomocą np. wtyczki interfejsu zarządzającego macierzą z </w:t>
            </w:r>
            <w:r w:rsidR="00EB3401">
              <w:rPr>
                <w:rFonts w:cstheme="minorHAnsi"/>
                <w:sz w:val="20"/>
                <w:szCs w:val="20"/>
              </w:rPr>
              <w:t xml:space="preserve">posiadanym przez Zamawiającego </w:t>
            </w:r>
            <w:r>
              <w:rPr>
                <w:rFonts w:cstheme="minorHAnsi"/>
                <w:sz w:val="20"/>
                <w:szCs w:val="20"/>
              </w:rPr>
              <w:t xml:space="preserve">oprogramowaniem </w:t>
            </w:r>
            <w:proofErr w:type="spellStart"/>
            <w:r>
              <w:rPr>
                <w:rFonts w:cstheme="minorHAnsi"/>
                <w:sz w:val="20"/>
                <w:szCs w:val="20"/>
              </w:rPr>
              <w:t>VMware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vCenter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6.</w:t>
            </w:r>
          </w:p>
        </w:tc>
      </w:tr>
      <w:tr w:rsidR="00544E69" w:rsidRPr="00967EC6" w14:paraId="427B22B5" w14:textId="77777777" w:rsidTr="00C16E0A">
        <w:trPr>
          <w:trHeight w:val="41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2FD7E" w14:textId="00E0503D" w:rsidR="00544E69" w:rsidRPr="00DD4B4F" w:rsidRDefault="005D130E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6CB8" w14:textId="4C4824B3" w:rsidR="00544E69" w:rsidRDefault="00C16E0A" w:rsidP="0016293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Wsparcie dla RAID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8D2F" w14:textId="22B548BC" w:rsidR="00544E69" w:rsidRPr="00967EC6" w:rsidRDefault="00C16E0A" w:rsidP="001629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Wsparcie dla co najmniej konfiguracji RAID-5, RAID-6, RAID-10.</w:t>
            </w:r>
          </w:p>
        </w:tc>
      </w:tr>
      <w:tr w:rsidR="00C16E0A" w:rsidRPr="00967EC6" w14:paraId="0B9334C2" w14:textId="77777777" w:rsidTr="00C16E0A">
        <w:trPr>
          <w:trHeight w:val="41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CD451" w14:textId="3872DA86" w:rsidR="00C16E0A" w:rsidRPr="00DD4B4F" w:rsidRDefault="005D130E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0C94" w14:textId="750424D1" w:rsidR="00C16E0A" w:rsidRDefault="00C16E0A" w:rsidP="0016293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Optymalizacja przechowywania danych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6BDA" w14:textId="0CE3A860" w:rsidR="00C16E0A" w:rsidRPr="00967EC6" w:rsidRDefault="00C16E0A" w:rsidP="001629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Wsparcie dla </w:t>
            </w:r>
            <w:proofErr w:type="spellStart"/>
            <w:r>
              <w:rPr>
                <w:rFonts w:cstheme="minorHAnsi"/>
                <w:sz w:val="20"/>
                <w:szCs w:val="20"/>
              </w:rPr>
              <w:t>thin-provisioning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42495" w:rsidRPr="00A1525C" w14:paraId="3C80869A" w14:textId="77777777" w:rsidTr="00C16E0A">
        <w:trPr>
          <w:trHeight w:val="41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69020" w14:textId="29362086" w:rsidR="00742495" w:rsidRPr="00DD4B4F" w:rsidRDefault="005D130E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F11E" w14:textId="1C8A6B74" w:rsidR="00742495" w:rsidRDefault="00742495" w:rsidP="0016293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Gwarancja NBD+KYD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EF67" w14:textId="5F580F78" w:rsidR="00742495" w:rsidRPr="008D5D1D" w:rsidRDefault="00742495" w:rsidP="001629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>Czas trwania obowiązków gwaranc</w:t>
            </w:r>
            <w:r w:rsidR="00EB3401">
              <w:rPr>
                <w:rFonts w:cstheme="minorHAnsi"/>
                <w:sz w:val="20"/>
                <w:szCs w:val="20"/>
              </w:rPr>
              <w:t>yjnych</w:t>
            </w:r>
            <w:r w:rsidRPr="008D5D1D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027E24A7" w14:textId="19E07398" w:rsidR="00742495" w:rsidRPr="008D5D1D" w:rsidRDefault="00742495" w:rsidP="001629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>min. 36 miesięcy w miejscu eksploatacji z czasem naprawy następnego dnia roboczego</w:t>
            </w:r>
            <w:r>
              <w:rPr>
                <w:rFonts w:cstheme="minorHAnsi"/>
                <w:sz w:val="20"/>
                <w:szCs w:val="20"/>
              </w:rPr>
              <w:t xml:space="preserve"> NBD</w:t>
            </w:r>
            <w:r w:rsidRPr="008D5D1D">
              <w:rPr>
                <w:rFonts w:cstheme="minorHAnsi"/>
                <w:sz w:val="20"/>
                <w:szCs w:val="20"/>
              </w:rPr>
              <w:t xml:space="preserve"> (9x5</w:t>
            </w:r>
            <w:r w:rsidR="0056140A">
              <w:rPr>
                <w:rFonts w:cstheme="minorHAnsi"/>
                <w:sz w:val="20"/>
                <w:szCs w:val="20"/>
              </w:rPr>
              <w:t xml:space="preserve">, </w:t>
            </w:r>
            <w:r w:rsidR="0056140A" w:rsidRPr="000208FE">
              <w:rPr>
                <w:rFonts w:cstheme="minorHAnsi"/>
                <w:sz w:val="20"/>
                <w:szCs w:val="20"/>
              </w:rPr>
              <w:t>godzin dziennie, przez 5 dni roboczych</w:t>
            </w:r>
            <w:r w:rsidRPr="008D5D1D">
              <w:rPr>
                <w:rFonts w:cstheme="minorHAnsi"/>
                <w:sz w:val="20"/>
                <w:szCs w:val="20"/>
              </w:rPr>
              <w:t>) od chwili zgłoszenia usterki,  wraz z zachowaniem dysków w razie awarii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D23479">
              <w:rPr>
                <w:rFonts w:cstheme="minorHAnsi"/>
                <w:sz w:val="20"/>
                <w:szCs w:val="20"/>
              </w:rPr>
              <w:t>Keep</w:t>
            </w:r>
            <w:proofErr w:type="spellEnd"/>
            <w:r w:rsidR="00D2347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23479">
              <w:rPr>
                <w:rFonts w:cstheme="minorHAnsi"/>
                <w:sz w:val="20"/>
                <w:szCs w:val="20"/>
              </w:rPr>
              <w:t>Your</w:t>
            </w:r>
            <w:proofErr w:type="spellEnd"/>
            <w:r w:rsidR="00D23479">
              <w:rPr>
                <w:rFonts w:cstheme="minorHAnsi"/>
                <w:sz w:val="20"/>
                <w:szCs w:val="20"/>
              </w:rPr>
              <w:t xml:space="preserve"> Drive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14:paraId="3C50D32A" w14:textId="77777777" w:rsidR="00742495" w:rsidRPr="008D5D1D" w:rsidRDefault="00742495" w:rsidP="001629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3C1CA74" w14:textId="77777777" w:rsidR="00742495" w:rsidRPr="008D5D1D" w:rsidRDefault="00742495" w:rsidP="0016293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D5D1D">
              <w:rPr>
                <w:rFonts w:cstheme="minorHAnsi"/>
                <w:sz w:val="20"/>
                <w:szCs w:val="20"/>
              </w:rPr>
              <w:t>Serwer musi pochodzić z autoryzowanego kanału dystrybucji producenta i być objęty serwisem producenta na terenie Polski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8D5D1D">
              <w:rPr>
                <w:rFonts w:cstheme="minorHAnsi"/>
                <w:sz w:val="20"/>
                <w:szCs w:val="20"/>
              </w:rPr>
              <w:t xml:space="preserve"> a wsparcie techniczne producenta będzie obsługiwane  w języku polskim.</w:t>
            </w:r>
          </w:p>
        </w:tc>
      </w:tr>
      <w:tr w:rsidR="00742495" w:rsidRPr="00A1525C" w14:paraId="75BECA7C" w14:textId="77777777" w:rsidTr="00C16E0A">
        <w:trPr>
          <w:trHeight w:val="41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8A035" w14:textId="52BF41EB" w:rsidR="00742495" w:rsidRPr="00DD4B4F" w:rsidRDefault="005D130E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D810" w14:textId="7B0BB1DD" w:rsidR="00742495" w:rsidRDefault="00C16E0A" w:rsidP="0016293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Kompatybilność z serwerem maszyn wirtualnych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AA3D" w14:textId="66D784AF" w:rsidR="00742495" w:rsidRPr="008D5D1D" w:rsidRDefault="00C16E0A" w:rsidP="00435A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Pełna kompatybilność z serwerem maszyn wirtualnych zaoferowanym w </w:t>
            </w:r>
            <w:r w:rsidR="00435AAE">
              <w:rPr>
                <w:rFonts w:cstheme="minorHAnsi"/>
                <w:sz w:val="20"/>
                <w:szCs w:val="20"/>
              </w:rPr>
              <w:t xml:space="preserve">niniejszej części postępowania  </w:t>
            </w:r>
            <w:r>
              <w:rPr>
                <w:rFonts w:cstheme="minorHAnsi"/>
                <w:sz w:val="20"/>
                <w:szCs w:val="20"/>
              </w:rPr>
              <w:t xml:space="preserve">- podłączenie poprzez port FC i istniejącą sieć SAN </w:t>
            </w:r>
            <w:r w:rsidR="00435AAE">
              <w:rPr>
                <w:rFonts w:cstheme="minorHAnsi"/>
                <w:sz w:val="20"/>
                <w:szCs w:val="20"/>
              </w:rPr>
              <w:t>Zamawiającego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42495" w:rsidRPr="00A1525C" w14:paraId="11D79074" w14:textId="77777777" w:rsidTr="00C16E0A">
        <w:trPr>
          <w:trHeight w:val="41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AFFA4" w14:textId="750A151F" w:rsidR="00742495" w:rsidRPr="00DD4B4F" w:rsidRDefault="005D130E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1584" w14:textId="56DADBE7" w:rsidR="00742495" w:rsidRDefault="00C16E0A" w:rsidP="00162939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Kompatybilność z istniejącym środowiskiem zamawiającego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21C0" w14:textId="2F281AD1" w:rsidR="00742495" w:rsidRPr="008D5D1D" w:rsidRDefault="00C16E0A" w:rsidP="00435A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Pełna kompatybilność z istniejącym środowiskiem </w:t>
            </w:r>
            <w:r w:rsidR="00435AAE">
              <w:rPr>
                <w:rFonts w:cstheme="minorHAnsi"/>
                <w:sz w:val="20"/>
                <w:szCs w:val="20"/>
              </w:rPr>
              <w:t>Zamawiającego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435AAE">
              <w:rPr>
                <w:rFonts w:cstheme="minorHAnsi"/>
                <w:sz w:val="20"/>
                <w:szCs w:val="20"/>
              </w:rPr>
              <w:t xml:space="preserve">składającym </w:t>
            </w:r>
            <w:r>
              <w:rPr>
                <w:rFonts w:cstheme="minorHAnsi"/>
                <w:sz w:val="20"/>
                <w:szCs w:val="20"/>
              </w:rPr>
              <w:t>się z serwerów Dell R440</w:t>
            </w:r>
            <w:r w:rsidR="005D130E">
              <w:rPr>
                <w:rFonts w:cstheme="minorHAnsi"/>
                <w:sz w:val="20"/>
                <w:szCs w:val="20"/>
              </w:rPr>
              <w:t xml:space="preserve"> z zainstalowanym systemem </w:t>
            </w:r>
            <w:r w:rsidR="005D130E" w:rsidRPr="00EE7669">
              <w:rPr>
                <w:rFonts w:cstheme="minorHAnsi"/>
                <w:sz w:val="20"/>
                <w:szCs w:val="20"/>
              </w:rPr>
              <w:t>Vmware</w:t>
            </w:r>
            <w:r w:rsidR="005D130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D130E">
              <w:rPr>
                <w:rFonts w:cstheme="minorHAnsi"/>
                <w:sz w:val="20"/>
                <w:szCs w:val="20"/>
              </w:rPr>
              <w:t>ESXi</w:t>
            </w:r>
            <w:proofErr w:type="spellEnd"/>
            <w:r w:rsidR="005D130E">
              <w:rPr>
                <w:rFonts w:cstheme="minorHAnsi"/>
                <w:sz w:val="20"/>
                <w:szCs w:val="20"/>
              </w:rPr>
              <w:t>, z wbudowanymi portami FC podłączonymi do sieci SAN.</w:t>
            </w:r>
          </w:p>
        </w:tc>
      </w:tr>
    </w:tbl>
    <w:p w14:paraId="4E563104" w14:textId="79C79726" w:rsidR="009F5800" w:rsidRDefault="009F5800" w:rsidP="009D4F51">
      <w:pPr>
        <w:spacing w:after="0" w:line="240" w:lineRule="auto"/>
        <w:rPr>
          <w:rFonts w:cstheme="minorHAnsi"/>
        </w:rPr>
      </w:pPr>
    </w:p>
    <w:p w14:paraId="78FE7374" w14:textId="3099948D" w:rsidR="005D130E" w:rsidRDefault="005D130E" w:rsidP="009D4F5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zamierza przeznaczyć maksymalnie ok. </w:t>
      </w:r>
      <w:r w:rsidR="002E6DBA">
        <w:rPr>
          <w:rFonts w:cstheme="minorHAnsi"/>
          <w:sz w:val="20"/>
          <w:szCs w:val="20"/>
        </w:rPr>
        <w:t>50 </w:t>
      </w:r>
      <w:r>
        <w:rPr>
          <w:rFonts w:cstheme="minorHAnsi"/>
          <w:sz w:val="20"/>
          <w:szCs w:val="20"/>
        </w:rPr>
        <w:t>000 PLN netto na zakup macierzy.</w:t>
      </w:r>
    </w:p>
    <w:p w14:paraId="59DE6B26" w14:textId="44C164CD" w:rsidR="005D130E" w:rsidRDefault="005D130E" w:rsidP="009D4F51">
      <w:pPr>
        <w:spacing w:after="0" w:line="240" w:lineRule="auto"/>
        <w:rPr>
          <w:rFonts w:cstheme="minorHAnsi"/>
          <w:sz w:val="20"/>
          <w:szCs w:val="20"/>
        </w:rPr>
      </w:pPr>
    </w:p>
    <w:p w14:paraId="4A44D7B3" w14:textId="61A1A1F0" w:rsidR="005D130E" w:rsidRDefault="005D130E" w:rsidP="009D4F51">
      <w:pPr>
        <w:spacing w:after="0" w:line="240" w:lineRule="auto"/>
        <w:rPr>
          <w:rFonts w:cstheme="minorHAnsi"/>
        </w:rPr>
      </w:pPr>
    </w:p>
    <w:p w14:paraId="10CE535A" w14:textId="691A6520" w:rsidR="005D130E" w:rsidRDefault="005D130E" w:rsidP="005D130E">
      <w:pPr>
        <w:pStyle w:val="Akapitzlist"/>
        <w:spacing w:after="0" w:line="240" w:lineRule="auto"/>
        <w:ind w:left="426"/>
        <w:jc w:val="center"/>
        <w:rPr>
          <w:rFonts w:cstheme="minorHAnsi"/>
          <w:b/>
        </w:rPr>
      </w:pPr>
      <w:r w:rsidRPr="00371069">
        <w:rPr>
          <w:rFonts w:cstheme="minorHAnsi"/>
          <w:b/>
        </w:rPr>
        <w:t xml:space="preserve">Zestawienie </w:t>
      </w:r>
      <w:r>
        <w:rPr>
          <w:rFonts w:cstheme="minorHAnsi"/>
          <w:b/>
        </w:rPr>
        <w:t xml:space="preserve">minimalnych parametrów oprogramowania </w:t>
      </w:r>
      <w:proofErr w:type="spellStart"/>
      <w:r>
        <w:rPr>
          <w:rFonts w:cstheme="minorHAnsi"/>
          <w:b/>
        </w:rPr>
        <w:t>wirtualizacyjnego</w:t>
      </w:r>
      <w:proofErr w:type="spellEnd"/>
    </w:p>
    <w:p w14:paraId="34A66EAB" w14:textId="72E4E5FD" w:rsidR="005D130E" w:rsidRDefault="005D130E" w:rsidP="005D130E">
      <w:pPr>
        <w:pStyle w:val="Akapitzlist"/>
        <w:spacing w:after="0" w:line="240" w:lineRule="auto"/>
        <w:ind w:left="426"/>
        <w:jc w:val="center"/>
        <w:rPr>
          <w:rFonts w:cstheme="minorHAnsi"/>
          <w:b/>
        </w:rPr>
      </w:pPr>
    </w:p>
    <w:p w14:paraId="5258156B" w14:textId="36305FD9" w:rsidR="005D130E" w:rsidRDefault="005D130E" w:rsidP="0023650B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posiada działające środowisko </w:t>
      </w:r>
      <w:proofErr w:type="spellStart"/>
      <w:r>
        <w:rPr>
          <w:rFonts w:cstheme="minorHAnsi"/>
          <w:sz w:val="20"/>
          <w:szCs w:val="20"/>
        </w:rPr>
        <w:t>wirtualizacyjne</w:t>
      </w:r>
      <w:proofErr w:type="spellEnd"/>
      <w:r>
        <w:rPr>
          <w:rFonts w:cstheme="minorHAnsi"/>
          <w:sz w:val="20"/>
          <w:szCs w:val="20"/>
        </w:rPr>
        <w:t xml:space="preserve"> oparte na systemie </w:t>
      </w:r>
      <w:proofErr w:type="spellStart"/>
      <w:r>
        <w:rPr>
          <w:rFonts w:cstheme="minorHAnsi"/>
          <w:sz w:val="20"/>
          <w:szCs w:val="20"/>
        </w:rPr>
        <w:t>VMWare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ESXi</w:t>
      </w:r>
      <w:proofErr w:type="spellEnd"/>
      <w:r>
        <w:rPr>
          <w:rFonts w:cstheme="minorHAnsi"/>
          <w:sz w:val="20"/>
          <w:szCs w:val="20"/>
        </w:rPr>
        <w:t xml:space="preserve"> oraz licencjach </w:t>
      </w:r>
      <w:proofErr w:type="spellStart"/>
      <w:r>
        <w:rPr>
          <w:rFonts w:cstheme="minorHAnsi"/>
          <w:sz w:val="20"/>
          <w:szCs w:val="20"/>
        </w:rPr>
        <w:t>vSphere</w:t>
      </w:r>
      <w:proofErr w:type="spellEnd"/>
      <w:r>
        <w:rPr>
          <w:rFonts w:cstheme="minorHAnsi"/>
          <w:sz w:val="20"/>
          <w:szCs w:val="20"/>
        </w:rPr>
        <w:t xml:space="preserve"> 6 Essentials Plus / </w:t>
      </w:r>
      <w:proofErr w:type="spellStart"/>
      <w:r>
        <w:rPr>
          <w:rFonts w:cstheme="minorHAnsi"/>
          <w:sz w:val="20"/>
          <w:szCs w:val="20"/>
        </w:rPr>
        <w:t>vCenter</w:t>
      </w:r>
      <w:proofErr w:type="spellEnd"/>
      <w:r>
        <w:rPr>
          <w:rFonts w:cstheme="minorHAnsi"/>
          <w:sz w:val="20"/>
          <w:szCs w:val="20"/>
        </w:rPr>
        <w:t xml:space="preserve"> Server 6 Essentials, o następujących parametrach zamówienia </w:t>
      </w:r>
      <w:proofErr w:type="spellStart"/>
      <w:r>
        <w:rPr>
          <w:rFonts w:cstheme="minorHAnsi"/>
          <w:sz w:val="20"/>
          <w:szCs w:val="20"/>
        </w:rPr>
        <w:t>VMWare</w:t>
      </w:r>
      <w:proofErr w:type="spellEnd"/>
      <w:r>
        <w:rPr>
          <w:rFonts w:cstheme="minorHAnsi"/>
          <w:sz w:val="20"/>
          <w:szCs w:val="20"/>
        </w:rPr>
        <w:t>:</w:t>
      </w:r>
    </w:p>
    <w:p w14:paraId="55970D52" w14:textId="3234E692" w:rsidR="005D130E" w:rsidRDefault="005D130E" w:rsidP="0023650B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Order ID </w:t>
      </w:r>
      <w:r w:rsidRPr="005D130E">
        <w:rPr>
          <w:rFonts w:cstheme="minorHAnsi"/>
          <w:sz w:val="20"/>
          <w:szCs w:val="20"/>
        </w:rPr>
        <w:t>24044448</w:t>
      </w:r>
    </w:p>
    <w:p w14:paraId="327E4D86" w14:textId="61B8FE0E" w:rsidR="005D130E" w:rsidRDefault="005D130E" w:rsidP="0023650B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proofErr w:type="spellStart"/>
      <w:r>
        <w:rPr>
          <w:rFonts w:cstheme="minorHAnsi"/>
          <w:sz w:val="20"/>
          <w:szCs w:val="20"/>
        </w:rPr>
        <w:t>Contract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Number</w:t>
      </w:r>
      <w:proofErr w:type="spellEnd"/>
      <w:r>
        <w:rPr>
          <w:rFonts w:cstheme="minorHAnsi"/>
          <w:sz w:val="20"/>
          <w:szCs w:val="20"/>
        </w:rPr>
        <w:t xml:space="preserve">: </w:t>
      </w:r>
      <w:r w:rsidRPr="005D130E">
        <w:rPr>
          <w:rFonts w:cstheme="minorHAnsi"/>
          <w:sz w:val="20"/>
          <w:szCs w:val="20"/>
        </w:rPr>
        <w:t xml:space="preserve">Naukowa I Akademicka </w:t>
      </w:r>
      <w:proofErr w:type="spellStart"/>
      <w:r w:rsidRPr="005D130E">
        <w:rPr>
          <w:rFonts w:cstheme="minorHAnsi"/>
          <w:sz w:val="20"/>
          <w:szCs w:val="20"/>
        </w:rPr>
        <w:t>Sieæ</w:t>
      </w:r>
      <w:proofErr w:type="spellEnd"/>
      <w:r w:rsidRPr="005D130E">
        <w:rPr>
          <w:rFonts w:cstheme="minorHAnsi"/>
          <w:sz w:val="20"/>
          <w:szCs w:val="20"/>
        </w:rPr>
        <w:t xml:space="preserve"> </w:t>
      </w:r>
      <w:proofErr w:type="spellStart"/>
      <w:r w:rsidRPr="005D130E">
        <w:rPr>
          <w:rFonts w:cstheme="minorHAnsi"/>
          <w:sz w:val="20"/>
          <w:szCs w:val="20"/>
        </w:rPr>
        <w:t>Komputero</w:t>
      </w:r>
      <w:proofErr w:type="spellEnd"/>
      <w:r w:rsidRPr="005D130E">
        <w:rPr>
          <w:rFonts w:cstheme="minorHAnsi"/>
          <w:sz w:val="20"/>
          <w:szCs w:val="20"/>
        </w:rPr>
        <w:t xml:space="preserve"> WA, 465511533</w:t>
      </w:r>
    </w:p>
    <w:p w14:paraId="7BA63099" w14:textId="021C9009" w:rsidR="005D130E" w:rsidRDefault="005D130E" w:rsidP="0023650B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  <w:lang w:val="en-US"/>
        </w:rPr>
      </w:pPr>
      <w:r w:rsidRPr="005D130E">
        <w:rPr>
          <w:rFonts w:cstheme="minorHAnsi"/>
          <w:sz w:val="20"/>
          <w:szCs w:val="20"/>
          <w:lang w:val="en-US"/>
        </w:rPr>
        <w:t>- Bundle Name: VMware vSphere 6 Essentials Plus Kit for 3 hosts (Max 2 processors per host)</w:t>
      </w:r>
    </w:p>
    <w:p w14:paraId="1CCE4E10" w14:textId="31957669" w:rsidR="00497CCC" w:rsidRDefault="00497CCC" w:rsidP="0023650B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  <w:lang w:val="en-US"/>
        </w:rPr>
      </w:pPr>
    </w:p>
    <w:p w14:paraId="4DEC6645" w14:textId="651A01E6" w:rsidR="00497CCC" w:rsidRDefault="00481FC3" w:rsidP="0023650B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Celem </w:t>
      </w:r>
      <w:r w:rsidR="00497CCC" w:rsidRPr="00497CCC">
        <w:rPr>
          <w:rFonts w:cstheme="minorHAnsi"/>
          <w:sz w:val="20"/>
          <w:szCs w:val="20"/>
        </w:rPr>
        <w:t>Zamawiając</w:t>
      </w:r>
      <w:r>
        <w:rPr>
          <w:rFonts w:cstheme="minorHAnsi"/>
          <w:sz w:val="20"/>
          <w:szCs w:val="20"/>
        </w:rPr>
        <w:t>ego jest</w:t>
      </w:r>
      <w:r w:rsidR="00497CCC" w:rsidRPr="00497CCC">
        <w:rPr>
          <w:rFonts w:cstheme="minorHAnsi"/>
          <w:sz w:val="20"/>
          <w:szCs w:val="20"/>
        </w:rPr>
        <w:t xml:space="preserve"> </w:t>
      </w:r>
      <w:r w:rsidR="008D5DA0">
        <w:rPr>
          <w:rFonts w:cstheme="minorHAnsi"/>
          <w:sz w:val="20"/>
          <w:szCs w:val="20"/>
        </w:rPr>
        <w:t>r</w:t>
      </w:r>
      <w:r w:rsidR="00497CCC" w:rsidRPr="00497CCC">
        <w:rPr>
          <w:rFonts w:cstheme="minorHAnsi"/>
          <w:sz w:val="20"/>
          <w:szCs w:val="20"/>
        </w:rPr>
        <w:t>o</w:t>
      </w:r>
      <w:r w:rsidR="008D5DA0">
        <w:rPr>
          <w:rFonts w:cstheme="minorHAnsi"/>
          <w:sz w:val="20"/>
          <w:szCs w:val="20"/>
        </w:rPr>
        <w:t>z</w:t>
      </w:r>
      <w:r w:rsidR="00497CCC" w:rsidRPr="00497CCC">
        <w:rPr>
          <w:rFonts w:cstheme="minorHAnsi"/>
          <w:sz w:val="20"/>
          <w:szCs w:val="20"/>
        </w:rPr>
        <w:t>szerz</w:t>
      </w:r>
      <w:r w:rsidR="008D5DA0">
        <w:rPr>
          <w:rFonts w:cstheme="minorHAnsi"/>
          <w:sz w:val="20"/>
          <w:szCs w:val="20"/>
        </w:rPr>
        <w:t>enie zakresu sprzętu objętego</w:t>
      </w:r>
      <w:r w:rsidR="00497CCC" w:rsidRPr="00497CCC">
        <w:rPr>
          <w:rFonts w:cstheme="minorHAnsi"/>
          <w:sz w:val="20"/>
          <w:szCs w:val="20"/>
        </w:rPr>
        <w:t xml:space="preserve"> posiadaną licencj</w:t>
      </w:r>
      <w:r w:rsidR="008D5DA0">
        <w:rPr>
          <w:rFonts w:cstheme="minorHAnsi"/>
          <w:sz w:val="20"/>
          <w:szCs w:val="20"/>
        </w:rPr>
        <w:t>ą</w:t>
      </w:r>
      <w:r w:rsidR="00497CCC" w:rsidRPr="00497CCC">
        <w:rPr>
          <w:rFonts w:cstheme="minorHAnsi"/>
          <w:sz w:val="20"/>
          <w:szCs w:val="20"/>
        </w:rPr>
        <w:t xml:space="preserve"> o</w:t>
      </w:r>
      <w:r w:rsidR="00497CCC">
        <w:rPr>
          <w:rFonts w:cstheme="minorHAnsi"/>
          <w:sz w:val="20"/>
          <w:szCs w:val="20"/>
        </w:rPr>
        <w:t xml:space="preserve"> dw</w:t>
      </w:r>
      <w:r w:rsidR="008D5DA0">
        <w:rPr>
          <w:rFonts w:cstheme="minorHAnsi"/>
          <w:sz w:val="20"/>
          <w:szCs w:val="20"/>
        </w:rPr>
        <w:t>a</w:t>
      </w:r>
      <w:r w:rsidR="00497CCC">
        <w:rPr>
          <w:rFonts w:cstheme="minorHAnsi"/>
          <w:sz w:val="20"/>
          <w:szCs w:val="20"/>
        </w:rPr>
        <w:t xml:space="preserve"> serwer</w:t>
      </w:r>
      <w:r w:rsidR="008D5DA0">
        <w:rPr>
          <w:rFonts w:cstheme="minorHAnsi"/>
          <w:sz w:val="20"/>
          <w:szCs w:val="20"/>
        </w:rPr>
        <w:t>y</w:t>
      </w:r>
      <w:r w:rsidR="00497CCC">
        <w:rPr>
          <w:rFonts w:cstheme="minorHAnsi"/>
          <w:sz w:val="20"/>
          <w:szCs w:val="20"/>
        </w:rPr>
        <w:t xml:space="preserve"> zakupion</w:t>
      </w:r>
      <w:r w:rsidR="008D5DA0">
        <w:rPr>
          <w:rFonts w:cstheme="minorHAnsi"/>
          <w:sz w:val="20"/>
          <w:szCs w:val="20"/>
        </w:rPr>
        <w:t>e</w:t>
      </w:r>
      <w:r w:rsidR="00497CCC">
        <w:rPr>
          <w:rFonts w:cstheme="minorHAnsi"/>
          <w:sz w:val="20"/>
          <w:szCs w:val="20"/>
        </w:rPr>
        <w:t xml:space="preserve"> w niniejszym postępowaniu (łącznie na 2 dodatkowe hosty i 4 dodatkowe CPU).</w:t>
      </w:r>
      <w:r w:rsidR="003152B1">
        <w:rPr>
          <w:rFonts w:cstheme="minorHAnsi"/>
          <w:sz w:val="20"/>
          <w:szCs w:val="20"/>
        </w:rPr>
        <w:t xml:space="preserve">  </w:t>
      </w:r>
    </w:p>
    <w:p w14:paraId="78714BB6" w14:textId="77777777" w:rsidR="00497CCC" w:rsidRDefault="00497CCC" w:rsidP="0023650B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09B1924D" w14:textId="086D898C" w:rsidR="003152B1" w:rsidRDefault="00497CCC" w:rsidP="0023650B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Zamawiający wymaga, aby </w:t>
      </w:r>
      <w:r w:rsidR="005D10FC">
        <w:rPr>
          <w:rFonts w:cstheme="minorHAnsi"/>
          <w:sz w:val="20"/>
          <w:szCs w:val="20"/>
        </w:rPr>
        <w:t xml:space="preserve">istniejące </w:t>
      </w:r>
      <w:r>
        <w:rPr>
          <w:rFonts w:cstheme="minorHAnsi"/>
          <w:sz w:val="20"/>
          <w:szCs w:val="20"/>
        </w:rPr>
        <w:t>środowisko</w:t>
      </w:r>
      <w:r w:rsidR="005D10FC">
        <w:rPr>
          <w:rFonts w:cstheme="minorHAnsi"/>
          <w:sz w:val="20"/>
          <w:szCs w:val="20"/>
        </w:rPr>
        <w:t xml:space="preserve"> </w:t>
      </w:r>
      <w:proofErr w:type="spellStart"/>
      <w:r w:rsidR="005D10FC">
        <w:rPr>
          <w:rFonts w:cstheme="minorHAnsi"/>
          <w:sz w:val="20"/>
          <w:szCs w:val="20"/>
        </w:rPr>
        <w:t>wirtualizacyjne</w:t>
      </w:r>
      <w:proofErr w:type="spellEnd"/>
      <w:r w:rsidR="005D10FC">
        <w:rPr>
          <w:rFonts w:cstheme="minorHAnsi"/>
          <w:sz w:val="20"/>
          <w:szCs w:val="20"/>
        </w:rPr>
        <w:t xml:space="preserve"> </w:t>
      </w:r>
      <w:r w:rsidR="003342C5">
        <w:rPr>
          <w:rFonts w:cstheme="minorHAnsi"/>
          <w:sz w:val="20"/>
          <w:szCs w:val="20"/>
        </w:rPr>
        <w:t xml:space="preserve">(3 serwery dwuprocesorowe) </w:t>
      </w:r>
      <w:r w:rsidR="005D10FC">
        <w:rPr>
          <w:rFonts w:cstheme="minorHAnsi"/>
          <w:sz w:val="20"/>
          <w:szCs w:val="20"/>
        </w:rPr>
        <w:t>rozbudowane o</w:t>
      </w:r>
      <w:r>
        <w:rPr>
          <w:rFonts w:cstheme="minorHAnsi"/>
          <w:sz w:val="20"/>
          <w:szCs w:val="20"/>
        </w:rPr>
        <w:t xml:space="preserve"> 2 now</w:t>
      </w:r>
      <w:r w:rsidR="005D10FC">
        <w:rPr>
          <w:rFonts w:cstheme="minorHAnsi"/>
          <w:sz w:val="20"/>
          <w:szCs w:val="20"/>
        </w:rPr>
        <w:t>e serwery</w:t>
      </w:r>
      <w:r>
        <w:rPr>
          <w:rFonts w:cstheme="minorHAnsi"/>
          <w:sz w:val="20"/>
          <w:szCs w:val="20"/>
        </w:rPr>
        <w:t xml:space="preserve"> oraz macierz dyskow</w:t>
      </w:r>
      <w:r w:rsidR="005D10FC">
        <w:rPr>
          <w:rFonts w:cstheme="minorHAnsi"/>
          <w:sz w:val="20"/>
          <w:szCs w:val="20"/>
        </w:rPr>
        <w:t>ą</w:t>
      </w:r>
      <w:r>
        <w:rPr>
          <w:rFonts w:cstheme="minorHAnsi"/>
          <w:sz w:val="20"/>
          <w:szCs w:val="20"/>
        </w:rPr>
        <w:t xml:space="preserve"> zakupion</w:t>
      </w:r>
      <w:r w:rsidR="005D10FC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w niniejszym postępowaniu budowało jedno spójne środowisko </w:t>
      </w:r>
      <w:proofErr w:type="spellStart"/>
      <w:r>
        <w:rPr>
          <w:rFonts w:cstheme="minorHAnsi"/>
          <w:sz w:val="20"/>
          <w:szCs w:val="20"/>
        </w:rPr>
        <w:t>wirtualizacyjne</w:t>
      </w:r>
      <w:proofErr w:type="spellEnd"/>
      <w:r>
        <w:rPr>
          <w:rFonts w:cstheme="minorHAnsi"/>
          <w:sz w:val="20"/>
          <w:szCs w:val="20"/>
        </w:rPr>
        <w:t>.</w:t>
      </w:r>
      <w:r w:rsidR="007174D6">
        <w:rPr>
          <w:rFonts w:cstheme="minorHAnsi"/>
          <w:sz w:val="20"/>
          <w:szCs w:val="20"/>
        </w:rPr>
        <w:t xml:space="preserve"> Niedopuszczalne jest </w:t>
      </w:r>
      <w:r w:rsidR="008D5DA0">
        <w:rPr>
          <w:rFonts w:cstheme="minorHAnsi"/>
          <w:sz w:val="20"/>
          <w:szCs w:val="20"/>
        </w:rPr>
        <w:t>stos</w:t>
      </w:r>
      <w:r w:rsidR="007174D6">
        <w:rPr>
          <w:rFonts w:cstheme="minorHAnsi"/>
          <w:sz w:val="20"/>
          <w:szCs w:val="20"/>
        </w:rPr>
        <w:t>owanie</w:t>
      </w:r>
      <w:r w:rsidR="008D5DA0">
        <w:rPr>
          <w:rFonts w:cstheme="minorHAnsi"/>
          <w:sz w:val="20"/>
          <w:szCs w:val="20"/>
        </w:rPr>
        <w:t xml:space="preserve"> dla</w:t>
      </w:r>
      <w:r w:rsidR="007174D6">
        <w:rPr>
          <w:rFonts w:cstheme="minorHAnsi"/>
          <w:sz w:val="20"/>
          <w:szCs w:val="20"/>
        </w:rPr>
        <w:t xml:space="preserve"> </w:t>
      </w:r>
      <w:r w:rsidR="008D5DA0">
        <w:rPr>
          <w:rFonts w:cstheme="minorHAnsi"/>
          <w:sz w:val="20"/>
          <w:szCs w:val="20"/>
        </w:rPr>
        <w:t xml:space="preserve">jednego lub kilku takich </w:t>
      </w:r>
      <w:r w:rsidR="007174D6">
        <w:rPr>
          <w:rFonts w:cstheme="minorHAnsi"/>
          <w:sz w:val="20"/>
          <w:szCs w:val="20"/>
        </w:rPr>
        <w:t>serwerów inn</w:t>
      </w:r>
      <w:r w:rsidR="008D5DA0">
        <w:rPr>
          <w:rFonts w:cstheme="minorHAnsi"/>
          <w:sz w:val="20"/>
          <w:szCs w:val="20"/>
        </w:rPr>
        <w:t>ego</w:t>
      </w:r>
      <w:r w:rsidR="007174D6">
        <w:rPr>
          <w:rFonts w:cstheme="minorHAnsi"/>
          <w:sz w:val="20"/>
          <w:szCs w:val="20"/>
        </w:rPr>
        <w:t xml:space="preserve"> rodzaju oprogramowania </w:t>
      </w:r>
      <w:proofErr w:type="spellStart"/>
      <w:r w:rsidR="007174D6">
        <w:rPr>
          <w:rFonts w:cstheme="minorHAnsi"/>
          <w:sz w:val="20"/>
          <w:szCs w:val="20"/>
        </w:rPr>
        <w:t>wirtualizacyjnego</w:t>
      </w:r>
      <w:proofErr w:type="spellEnd"/>
      <w:r w:rsidR="007174D6">
        <w:rPr>
          <w:rFonts w:cstheme="minorHAnsi"/>
          <w:sz w:val="20"/>
          <w:szCs w:val="20"/>
        </w:rPr>
        <w:t>.</w:t>
      </w:r>
      <w:r w:rsidR="003152B1" w:rsidRPr="003152B1">
        <w:rPr>
          <w:rFonts w:cstheme="minorHAnsi"/>
          <w:sz w:val="20"/>
          <w:szCs w:val="20"/>
        </w:rPr>
        <w:t xml:space="preserve"> </w:t>
      </w:r>
    </w:p>
    <w:p w14:paraId="2CD7137B" w14:textId="77777777" w:rsidR="003152B1" w:rsidRDefault="003152B1" w:rsidP="0023650B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29A526AD" w14:textId="40B96F52" w:rsidR="00497CCC" w:rsidRDefault="003152B1" w:rsidP="0023650B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odniesieniu do warunków licencyjnych Oprogramowania Zamawiający wymaga, aby były zbieżne z warunkami licencyjnymi, o których mowa powyżej</w:t>
      </w:r>
      <w:r w:rsidR="00AD0F6B">
        <w:rPr>
          <w:rFonts w:cstheme="minorHAnsi"/>
          <w:sz w:val="20"/>
          <w:szCs w:val="20"/>
        </w:rPr>
        <w:t>, tj.</w:t>
      </w:r>
      <w:r w:rsidR="00AD0F6B" w:rsidRPr="00AD0F6B">
        <w:rPr>
          <w:rFonts w:cstheme="minorHAnsi"/>
          <w:sz w:val="20"/>
          <w:szCs w:val="20"/>
        </w:rPr>
        <w:t xml:space="preserve"> </w:t>
      </w:r>
      <w:proofErr w:type="spellStart"/>
      <w:r w:rsidR="00AD0F6B">
        <w:rPr>
          <w:rFonts w:cstheme="minorHAnsi"/>
          <w:sz w:val="20"/>
          <w:szCs w:val="20"/>
        </w:rPr>
        <w:t>vSphere</w:t>
      </w:r>
      <w:proofErr w:type="spellEnd"/>
      <w:r w:rsidR="00AD0F6B">
        <w:rPr>
          <w:rFonts w:cstheme="minorHAnsi"/>
          <w:sz w:val="20"/>
          <w:szCs w:val="20"/>
        </w:rPr>
        <w:t xml:space="preserve"> 6 Essentials Plus</w:t>
      </w:r>
      <w:r>
        <w:rPr>
          <w:rFonts w:cstheme="minorHAnsi"/>
          <w:sz w:val="20"/>
          <w:szCs w:val="20"/>
        </w:rPr>
        <w:t xml:space="preserve">. Dopuszczalne są odstępstwa w zakresie zapisów jednoznacznie korzystniejszych dla Zamawiającego, przy jednoczesnym zapewnieniu spójności warunków licencyjnych dla całości wymienionego powyżej środowiska </w:t>
      </w:r>
      <w:proofErr w:type="spellStart"/>
      <w:r>
        <w:rPr>
          <w:rFonts w:cstheme="minorHAnsi"/>
          <w:sz w:val="20"/>
          <w:szCs w:val="20"/>
        </w:rPr>
        <w:t>wirtualizacyjnego</w:t>
      </w:r>
      <w:proofErr w:type="spellEnd"/>
      <w:r>
        <w:rPr>
          <w:rFonts w:cstheme="minorHAnsi"/>
          <w:sz w:val="20"/>
          <w:szCs w:val="20"/>
        </w:rPr>
        <w:t>.</w:t>
      </w:r>
    </w:p>
    <w:p w14:paraId="6F253934" w14:textId="6C98849E" w:rsidR="00497CCC" w:rsidRDefault="00497CCC" w:rsidP="0023650B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77CCDDFC" w14:textId="0EE4C0CA" w:rsidR="00633859" w:rsidRPr="00633859" w:rsidRDefault="00633859" w:rsidP="006E0367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33859">
        <w:rPr>
          <w:rFonts w:cstheme="minorHAnsi"/>
          <w:sz w:val="20"/>
          <w:szCs w:val="20"/>
        </w:rPr>
        <w:t xml:space="preserve">W ramach usługi wsparcia technicznego dla </w:t>
      </w:r>
      <w:r>
        <w:rPr>
          <w:rFonts w:cstheme="minorHAnsi"/>
          <w:sz w:val="20"/>
          <w:szCs w:val="20"/>
        </w:rPr>
        <w:t>O</w:t>
      </w:r>
      <w:r w:rsidRPr="00633859">
        <w:rPr>
          <w:rFonts w:cstheme="minorHAnsi"/>
          <w:sz w:val="20"/>
          <w:szCs w:val="20"/>
        </w:rPr>
        <w:t>programowania</w:t>
      </w:r>
      <w:r w:rsidR="008819F6">
        <w:rPr>
          <w:rFonts w:cstheme="minorHAnsi"/>
          <w:sz w:val="20"/>
          <w:szCs w:val="20"/>
        </w:rPr>
        <w:t xml:space="preserve">, w ramach uiszczonego przez Zamawiającego na rzecz Wykonawcy </w:t>
      </w:r>
      <w:proofErr w:type="spellStart"/>
      <w:r w:rsidR="008819F6">
        <w:rPr>
          <w:rFonts w:cstheme="minorHAnsi"/>
          <w:sz w:val="20"/>
          <w:szCs w:val="20"/>
        </w:rPr>
        <w:t>wynagrodzenia,</w:t>
      </w:r>
      <w:r>
        <w:rPr>
          <w:rFonts w:cstheme="minorHAnsi"/>
          <w:sz w:val="20"/>
          <w:szCs w:val="20"/>
        </w:rPr>
        <w:t>Zamawiającemu</w:t>
      </w:r>
      <w:proofErr w:type="spellEnd"/>
      <w:r w:rsidR="00FB39F5">
        <w:rPr>
          <w:rFonts w:cstheme="minorHAnsi"/>
          <w:sz w:val="20"/>
          <w:szCs w:val="20"/>
        </w:rPr>
        <w:t xml:space="preserve"> przysługuje</w:t>
      </w:r>
      <w:r w:rsidR="007E6816">
        <w:rPr>
          <w:rFonts w:cstheme="minorHAnsi"/>
          <w:sz w:val="20"/>
          <w:szCs w:val="20"/>
        </w:rPr>
        <w:t xml:space="preserve">, przez okres </w:t>
      </w:r>
      <w:r w:rsidR="00FB39F5">
        <w:rPr>
          <w:rFonts w:cstheme="minorHAnsi"/>
          <w:sz w:val="20"/>
          <w:szCs w:val="20"/>
        </w:rPr>
        <w:t xml:space="preserve">co najmniej </w:t>
      </w:r>
      <w:r w:rsidR="00E05C8A">
        <w:rPr>
          <w:rFonts w:cstheme="minorHAnsi"/>
          <w:sz w:val="20"/>
          <w:szCs w:val="20"/>
        </w:rPr>
        <w:t xml:space="preserve">12 </w:t>
      </w:r>
      <w:r w:rsidR="007E6816">
        <w:rPr>
          <w:rFonts w:cstheme="minorHAnsi"/>
          <w:sz w:val="20"/>
          <w:szCs w:val="20"/>
        </w:rPr>
        <w:t>miesięcy</w:t>
      </w:r>
      <w:r w:rsidRPr="00633859">
        <w:rPr>
          <w:rFonts w:cstheme="minorHAnsi"/>
          <w:sz w:val="20"/>
          <w:szCs w:val="20"/>
        </w:rPr>
        <w:t>:</w:t>
      </w:r>
    </w:p>
    <w:p w14:paraId="096CF946" w14:textId="2DC0E3EC" w:rsidR="00633859" w:rsidRPr="00633859" w:rsidRDefault="00633859" w:rsidP="00E924A2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633859">
        <w:rPr>
          <w:rFonts w:cstheme="minorHAnsi"/>
          <w:sz w:val="20"/>
          <w:szCs w:val="20"/>
        </w:rPr>
        <w:t>•</w:t>
      </w:r>
      <w:r w:rsidRPr="00633859">
        <w:rPr>
          <w:rFonts w:cstheme="minorHAnsi"/>
          <w:sz w:val="20"/>
          <w:szCs w:val="20"/>
        </w:rPr>
        <w:tab/>
        <w:t>prawo do korzystania</w:t>
      </w:r>
      <w:r w:rsidR="008819F6">
        <w:rPr>
          <w:rFonts w:cstheme="minorHAnsi"/>
          <w:sz w:val="20"/>
          <w:szCs w:val="20"/>
        </w:rPr>
        <w:t>, bez jakichkolwiek dodatkowych opłat</w:t>
      </w:r>
      <w:r w:rsidR="00FB39F5">
        <w:rPr>
          <w:rFonts w:cstheme="minorHAnsi"/>
          <w:sz w:val="20"/>
          <w:szCs w:val="20"/>
        </w:rPr>
        <w:t xml:space="preserve"> </w:t>
      </w:r>
      <w:r w:rsidRPr="00633859">
        <w:rPr>
          <w:rFonts w:cstheme="minorHAnsi"/>
          <w:sz w:val="20"/>
          <w:szCs w:val="20"/>
        </w:rPr>
        <w:t>z wydawanych przez producenta</w:t>
      </w:r>
      <w:r w:rsidR="008819F6">
        <w:rPr>
          <w:rFonts w:cstheme="minorHAnsi"/>
          <w:sz w:val="20"/>
          <w:szCs w:val="20"/>
        </w:rPr>
        <w:t xml:space="preserve"> Oprogramowania</w:t>
      </w:r>
      <w:r w:rsidRPr="00633859">
        <w:rPr>
          <w:rFonts w:cstheme="minorHAnsi"/>
          <w:sz w:val="20"/>
          <w:szCs w:val="20"/>
        </w:rPr>
        <w:t xml:space="preserve"> najnowszych </w:t>
      </w:r>
      <w:r w:rsidR="008819F6">
        <w:rPr>
          <w:rFonts w:cstheme="minorHAnsi"/>
          <w:sz w:val="20"/>
          <w:szCs w:val="20"/>
        </w:rPr>
        <w:t xml:space="preserve">jego </w:t>
      </w:r>
      <w:r w:rsidRPr="00633859">
        <w:rPr>
          <w:rFonts w:cstheme="minorHAnsi"/>
          <w:sz w:val="20"/>
          <w:szCs w:val="20"/>
        </w:rPr>
        <w:t xml:space="preserve">wersji, aktualizacji Oprogramowania, poprawek do </w:t>
      </w:r>
      <w:r w:rsidR="008819F6">
        <w:rPr>
          <w:rFonts w:cstheme="minorHAnsi"/>
          <w:sz w:val="20"/>
          <w:szCs w:val="20"/>
        </w:rPr>
        <w:t>O</w:t>
      </w:r>
      <w:r w:rsidRPr="00633859">
        <w:rPr>
          <w:rFonts w:cstheme="minorHAnsi"/>
          <w:sz w:val="20"/>
          <w:szCs w:val="20"/>
        </w:rPr>
        <w:t>programowania</w:t>
      </w:r>
      <w:r w:rsidR="008819F6">
        <w:rPr>
          <w:rFonts w:cstheme="minorHAnsi"/>
          <w:sz w:val="20"/>
          <w:szCs w:val="20"/>
        </w:rPr>
        <w:t>;</w:t>
      </w:r>
    </w:p>
    <w:p w14:paraId="34A3951F" w14:textId="5340F13C" w:rsidR="00633859" w:rsidRPr="00633859" w:rsidRDefault="00633859" w:rsidP="00E924A2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633859">
        <w:rPr>
          <w:rFonts w:cstheme="minorHAnsi"/>
          <w:sz w:val="20"/>
          <w:szCs w:val="20"/>
        </w:rPr>
        <w:t>•</w:t>
      </w:r>
      <w:r w:rsidRPr="00633859">
        <w:rPr>
          <w:rFonts w:cstheme="minorHAnsi"/>
          <w:sz w:val="20"/>
          <w:szCs w:val="20"/>
        </w:rPr>
        <w:tab/>
      </w:r>
      <w:r w:rsidR="008819F6">
        <w:rPr>
          <w:rFonts w:cstheme="minorHAnsi"/>
          <w:sz w:val="20"/>
          <w:szCs w:val="20"/>
        </w:rPr>
        <w:t xml:space="preserve">zdalny </w:t>
      </w:r>
      <w:r w:rsidRPr="00633859">
        <w:rPr>
          <w:rFonts w:cstheme="minorHAnsi"/>
          <w:sz w:val="20"/>
          <w:szCs w:val="20"/>
        </w:rPr>
        <w:t>dostęp elektroniczny przez</w:t>
      </w:r>
      <w:r w:rsidR="008819F6">
        <w:rPr>
          <w:rFonts w:cstheme="minorHAnsi"/>
          <w:sz w:val="20"/>
          <w:szCs w:val="20"/>
        </w:rPr>
        <w:t xml:space="preserve"> całą dobę i wszystkie dni w roku</w:t>
      </w:r>
      <w:r w:rsidRPr="00633859">
        <w:rPr>
          <w:rFonts w:cstheme="minorHAnsi"/>
          <w:sz w:val="20"/>
          <w:szCs w:val="20"/>
        </w:rPr>
        <w:t xml:space="preserve"> </w:t>
      </w:r>
      <w:r w:rsidR="008819F6">
        <w:rPr>
          <w:rFonts w:cstheme="minorHAnsi"/>
          <w:sz w:val="20"/>
          <w:szCs w:val="20"/>
        </w:rPr>
        <w:t>(</w:t>
      </w:r>
      <w:r w:rsidRPr="00633859">
        <w:rPr>
          <w:rFonts w:cstheme="minorHAnsi"/>
          <w:sz w:val="20"/>
          <w:szCs w:val="20"/>
        </w:rPr>
        <w:t>7X24</w:t>
      </w:r>
      <w:r w:rsidR="008819F6">
        <w:rPr>
          <w:rFonts w:cstheme="minorHAnsi"/>
          <w:sz w:val="20"/>
          <w:szCs w:val="20"/>
        </w:rPr>
        <w:t>)</w:t>
      </w:r>
      <w:r w:rsidRPr="00633859">
        <w:rPr>
          <w:rFonts w:cstheme="minorHAnsi"/>
          <w:sz w:val="20"/>
          <w:szCs w:val="20"/>
        </w:rPr>
        <w:t xml:space="preserve"> do Centrum Pomocy Technicznej </w:t>
      </w:r>
      <w:r w:rsidR="008819F6">
        <w:rPr>
          <w:rFonts w:cstheme="minorHAnsi"/>
          <w:sz w:val="20"/>
          <w:szCs w:val="20"/>
        </w:rPr>
        <w:t>O</w:t>
      </w:r>
      <w:r w:rsidRPr="00633859">
        <w:rPr>
          <w:rFonts w:cstheme="minorHAnsi"/>
          <w:sz w:val="20"/>
          <w:szCs w:val="20"/>
        </w:rPr>
        <w:t>programowania</w:t>
      </w:r>
      <w:r w:rsidR="00E924A2">
        <w:rPr>
          <w:rFonts w:cstheme="minorHAnsi"/>
          <w:sz w:val="20"/>
          <w:szCs w:val="20"/>
        </w:rPr>
        <w:t xml:space="preserve">, </w:t>
      </w:r>
      <w:r w:rsidR="00E924A2" w:rsidRPr="00E924A2">
        <w:rPr>
          <w:rFonts w:cstheme="minorHAnsi"/>
          <w:sz w:val="20"/>
          <w:szCs w:val="20"/>
        </w:rPr>
        <w:t>z czasem podjęcia naprawy nie przekraczającym jednego dnia roboczego od momentu zgłoszenia problemu</w:t>
      </w:r>
      <w:r w:rsidRPr="00633859">
        <w:rPr>
          <w:rFonts w:cstheme="minorHAnsi"/>
          <w:sz w:val="20"/>
          <w:szCs w:val="20"/>
        </w:rPr>
        <w:t>;</w:t>
      </w:r>
    </w:p>
    <w:p w14:paraId="322499BC" w14:textId="0A423EAE" w:rsidR="00633859" w:rsidRDefault="00633859" w:rsidP="00E924A2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633859">
        <w:rPr>
          <w:rFonts w:cstheme="minorHAnsi"/>
          <w:sz w:val="20"/>
          <w:szCs w:val="20"/>
        </w:rPr>
        <w:t>•</w:t>
      </w:r>
      <w:r w:rsidRPr="00633859">
        <w:rPr>
          <w:rFonts w:cstheme="minorHAnsi"/>
          <w:sz w:val="20"/>
          <w:szCs w:val="20"/>
        </w:rPr>
        <w:tab/>
      </w:r>
      <w:r w:rsidR="008819F6">
        <w:rPr>
          <w:rFonts w:cstheme="minorHAnsi"/>
          <w:sz w:val="20"/>
          <w:szCs w:val="20"/>
        </w:rPr>
        <w:t xml:space="preserve">zdalny </w:t>
      </w:r>
      <w:r w:rsidRPr="00633859">
        <w:rPr>
          <w:rFonts w:cstheme="minorHAnsi"/>
          <w:sz w:val="20"/>
          <w:szCs w:val="20"/>
        </w:rPr>
        <w:t xml:space="preserve">dostęp elektroniczny do bazy wiedzy, dokumentacji, biuletynów i informacji na temat </w:t>
      </w:r>
      <w:r w:rsidR="008819F6">
        <w:rPr>
          <w:rFonts w:cstheme="minorHAnsi"/>
          <w:sz w:val="20"/>
          <w:szCs w:val="20"/>
        </w:rPr>
        <w:t>O</w:t>
      </w:r>
      <w:r w:rsidRPr="00633859">
        <w:rPr>
          <w:rFonts w:cstheme="minorHAnsi"/>
          <w:sz w:val="20"/>
          <w:szCs w:val="20"/>
        </w:rPr>
        <w:t>programowania</w:t>
      </w:r>
      <w:r w:rsidR="007E6816">
        <w:rPr>
          <w:rFonts w:cstheme="minorHAnsi"/>
          <w:sz w:val="20"/>
          <w:szCs w:val="20"/>
        </w:rPr>
        <w:t>.</w:t>
      </w:r>
      <w:r w:rsidRPr="00633859">
        <w:rPr>
          <w:rFonts w:cstheme="minorHAnsi"/>
          <w:sz w:val="20"/>
          <w:szCs w:val="20"/>
        </w:rPr>
        <w:t xml:space="preserve"> </w:t>
      </w:r>
    </w:p>
    <w:p w14:paraId="1B88DD25" w14:textId="4266ACC0" w:rsidR="00633859" w:rsidRDefault="00CC426D" w:rsidP="00CC426D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CC426D">
        <w:rPr>
          <w:rFonts w:cstheme="minorHAnsi"/>
          <w:sz w:val="20"/>
          <w:szCs w:val="20"/>
        </w:rPr>
        <w:t xml:space="preserve">Szczegółowe warunki wsparcia technicznego dla Oprogramowania, o którym mowa </w:t>
      </w:r>
      <w:r w:rsidR="007E6816">
        <w:rPr>
          <w:rFonts w:cstheme="minorHAnsi"/>
          <w:sz w:val="20"/>
          <w:szCs w:val="20"/>
        </w:rPr>
        <w:t>powyżej</w:t>
      </w:r>
      <w:r>
        <w:rPr>
          <w:rFonts w:cstheme="minorHAnsi"/>
          <w:sz w:val="20"/>
          <w:szCs w:val="20"/>
        </w:rPr>
        <w:t xml:space="preserve"> </w:t>
      </w:r>
      <w:r w:rsidRPr="00CC426D">
        <w:rPr>
          <w:rFonts w:cstheme="minorHAnsi"/>
          <w:sz w:val="20"/>
          <w:szCs w:val="20"/>
        </w:rPr>
        <w:t>regul</w:t>
      </w:r>
      <w:r w:rsidR="007E6816">
        <w:rPr>
          <w:rFonts w:cstheme="minorHAnsi"/>
          <w:sz w:val="20"/>
          <w:szCs w:val="20"/>
        </w:rPr>
        <w:t>ować powinny</w:t>
      </w:r>
      <w:r w:rsidRPr="00CC426D">
        <w:rPr>
          <w:rFonts w:cstheme="minorHAnsi"/>
          <w:sz w:val="20"/>
          <w:szCs w:val="20"/>
        </w:rPr>
        <w:t xml:space="preserve"> umowy licencyjne</w:t>
      </w:r>
      <w:r w:rsidR="007E6816">
        <w:rPr>
          <w:rFonts w:cstheme="minorHAnsi"/>
          <w:sz w:val="20"/>
          <w:szCs w:val="20"/>
        </w:rPr>
        <w:t xml:space="preserve"> lub inne stosowne umowy lub warunki</w:t>
      </w:r>
      <w:r w:rsidRPr="00CC426D">
        <w:rPr>
          <w:rFonts w:cstheme="minorHAnsi"/>
          <w:sz w:val="20"/>
          <w:szCs w:val="20"/>
        </w:rPr>
        <w:t xml:space="preserve"> wydane</w:t>
      </w:r>
      <w:r w:rsidR="007E6816">
        <w:rPr>
          <w:rFonts w:cstheme="minorHAnsi"/>
          <w:sz w:val="20"/>
          <w:szCs w:val="20"/>
        </w:rPr>
        <w:t xml:space="preserve"> lub zaakceptowane</w:t>
      </w:r>
      <w:r w:rsidRPr="00CC426D">
        <w:rPr>
          <w:rFonts w:cstheme="minorHAnsi"/>
          <w:sz w:val="20"/>
          <w:szCs w:val="20"/>
        </w:rPr>
        <w:t xml:space="preserve"> przez producenta Oprogramowania</w:t>
      </w:r>
      <w:r w:rsidR="007E6816">
        <w:rPr>
          <w:rFonts w:cstheme="minorHAnsi"/>
          <w:sz w:val="20"/>
          <w:szCs w:val="20"/>
        </w:rPr>
        <w:t>, przy czym umowy takie, ani warunki nie mogą ograniczać wskazanych powyżej wymagań, ani stać z nimi w sprzeczności</w:t>
      </w:r>
      <w:r>
        <w:rPr>
          <w:rFonts w:cstheme="minorHAnsi"/>
          <w:sz w:val="20"/>
          <w:szCs w:val="20"/>
        </w:rPr>
        <w:t>.</w:t>
      </w:r>
    </w:p>
    <w:p w14:paraId="21DC1F91" w14:textId="77777777" w:rsidR="00CC426D" w:rsidRDefault="00CC426D" w:rsidP="0023650B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28F4C5FF" w14:textId="77777777" w:rsidR="000D6426" w:rsidRDefault="000D6426" w:rsidP="0023650B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1B2CC6AA" w14:textId="09F0F29D" w:rsidR="00497CCC" w:rsidRDefault="00497CCC" w:rsidP="0023650B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dopuszcza zaoferowanie oprogramowania równoważnego dla</w:t>
      </w:r>
      <w:r w:rsidR="008D5DA0">
        <w:rPr>
          <w:rFonts w:cstheme="minorHAnsi"/>
          <w:sz w:val="20"/>
          <w:szCs w:val="20"/>
        </w:rPr>
        <w:t xml:space="preserve"> wskazanego powyżej</w:t>
      </w:r>
      <w:r>
        <w:rPr>
          <w:rFonts w:cstheme="minorHAnsi"/>
          <w:sz w:val="20"/>
          <w:szCs w:val="20"/>
        </w:rPr>
        <w:t xml:space="preserve"> środowiska </w:t>
      </w:r>
      <w:proofErr w:type="spellStart"/>
      <w:r>
        <w:rPr>
          <w:rFonts w:cstheme="minorHAnsi"/>
          <w:sz w:val="20"/>
          <w:szCs w:val="20"/>
        </w:rPr>
        <w:t>VMWare</w:t>
      </w:r>
      <w:proofErr w:type="spellEnd"/>
      <w:r>
        <w:rPr>
          <w:rFonts w:cstheme="minorHAnsi"/>
          <w:sz w:val="20"/>
          <w:szCs w:val="20"/>
        </w:rPr>
        <w:t>. W takim przypadku warunki równoważności opisane są poniżej.</w:t>
      </w:r>
    </w:p>
    <w:p w14:paraId="5A2EF52C" w14:textId="77777777" w:rsidR="006C2C51" w:rsidRDefault="006C2C51" w:rsidP="0023650B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6248C635" w14:textId="57184C2B" w:rsidR="007174D6" w:rsidRPr="007174D6" w:rsidRDefault="007174D6" w:rsidP="0023650B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7174D6">
        <w:rPr>
          <w:rFonts w:cstheme="minorHAnsi"/>
          <w:sz w:val="20"/>
          <w:szCs w:val="20"/>
        </w:rPr>
        <w:t xml:space="preserve">W przypadku zaoferowania rozwiązania równoważnego, zgodnie z art. 30 ust. 5 u </w:t>
      </w:r>
      <w:proofErr w:type="spellStart"/>
      <w:r w:rsidRPr="007174D6">
        <w:rPr>
          <w:rFonts w:cstheme="minorHAnsi"/>
          <w:sz w:val="20"/>
          <w:szCs w:val="20"/>
        </w:rPr>
        <w:t>Pzp</w:t>
      </w:r>
      <w:proofErr w:type="spellEnd"/>
      <w:r w:rsidRPr="007174D6">
        <w:rPr>
          <w:rFonts w:cstheme="minorHAnsi"/>
          <w:sz w:val="20"/>
          <w:szCs w:val="20"/>
        </w:rPr>
        <w:t xml:space="preserve">, na Wykonawcy spoczywa obwiązek wykazania jego równoważności. </w:t>
      </w:r>
    </w:p>
    <w:p w14:paraId="1CE8DD70" w14:textId="77777777" w:rsidR="007174D6" w:rsidRPr="007174D6" w:rsidRDefault="007174D6" w:rsidP="0023650B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2C83C0AB" w14:textId="2D59F35D" w:rsidR="007174D6" w:rsidRPr="007174D6" w:rsidRDefault="007174D6" w:rsidP="0023650B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7174D6">
        <w:rPr>
          <w:rFonts w:cstheme="minorHAnsi"/>
          <w:sz w:val="20"/>
          <w:szCs w:val="20"/>
        </w:rPr>
        <w:t xml:space="preserve">Wykonawca, który zaoferuje rozwiązanie równoważne, zobligowany jest zawrzeć w ofercie opis oprogramowania równoważnego, zawierający opis parametrów i funkcjonalności dla oprogramowania równoważnego, </w:t>
      </w:r>
      <w:r w:rsidRPr="007174D6">
        <w:rPr>
          <w:rFonts w:cstheme="minorHAnsi"/>
          <w:sz w:val="20"/>
          <w:szCs w:val="20"/>
        </w:rPr>
        <w:lastRenderedPageBreak/>
        <w:t xml:space="preserve">określonych </w:t>
      </w:r>
      <w:r w:rsidR="006C2C51">
        <w:rPr>
          <w:rFonts w:cstheme="minorHAnsi"/>
          <w:sz w:val="20"/>
          <w:szCs w:val="20"/>
        </w:rPr>
        <w:t>poniżej</w:t>
      </w:r>
      <w:r w:rsidRPr="007174D6">
        <w:rPr>
          <w:rFonts w:cstheme="minorHAnsi"/>
          <w:sz w:val="20"/>
          <w:szCs w:val="20"/>
        </w:rPr>
        <w:t xml:space="preserve">. Z opisu powinno jednoznaczne wynikać, że produkt oferowany jako równoważny spełnia wymagania określone przez Zamawiającego. </w:t>
      </w:r>
    </w:p>
    <w:p w14:paraId="558335B0" w14:textId="77777777" w:rsidR="007174D6" w:rsidRPr="007174D6" w:rsidRDefault="007174D6" w:rsidP="0023650B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25AF8B6A" w14:textId="77777777" w:rsidR="007174D6" w:rsidRPr="007174D6" w:rsidRDefault="007174D6" w:rsidP="0023650B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7174D6">
        <w:rPr>
          <w:rFonts w:cstheme="minorHAnsi"/>
          <w:sz w:val="20"/>
          <w:szCs w:val="20"/>
        </w:rPr>
        <w:t>W przypadku zaoferowania rozwiązania równoważnego, Wykonawca:</w:t>
      </w:r>
    </w:p>
    <w:p w14:paraId="5A841941" w14:textId="0E2CC23E" w:rsidR="007174D6" w:rsidRPr="007174D6" w:rsidRDefault="007174D6" w:rsidP="0023650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" w:name="_Hlk10037392"/>
      <w:r w:rsidRPr="007174D6">
        <w:rPr>
          <w:rFonts w:cstheme="minorHAnsi"/>
          <w:sz w:val="20"/>
          <w:szCs w:val="20"/>
        </w:rPr>
        <w:t>dokona wspólnie z Zamawiającym</w:t>
      </w:r>
      <w:r w:rsidR="006A2AC9">
        <w:rPr>
          <w:rFonts w:cstheme="minorHAnsi"/>
          <w:sz w:val="20"/>
          <w:szCs w:val="20"/>
        </w:rPr>
        <w:t>,</w:t>
      </w:r>
      <w:r w:rsidR="006A2AC9" w:rsidRPr="006A2AC9">
        <w:rPr>
          <w:rFonts w:cstheme="minorHAnsi"/>
          <w:sz w:val="20"/>
          <w:szCs w:val="20"/>
        </w:rPr>
        <w:t xml:space="preserve"> </w:t>
      </w:r>
      <w:r w:rsidR="006A2AC9" w:rsidRPr="007174D6">
        <w:rPr>
          <w:rFonts w:cstheme="minorHAnsi"/>
          <w:sz w:val="20"/>
          <w:szCs w:val="20"/>
        </w:rPr>
        <w:t xml:space="preserve">w </w:t>
      </w:r>
      <w:r w:rsidR="006A2AC9">
        <w:rPr>
          <w:rFonts w:cstheme="minorHAnsi"/>
          <w:sz w:val="20"/>
          <w:szCs w:val="20"/>
        </w:rPr>
        <w:t>terminie</w:t>
      </w:r>
      <w:r w:rsidR="006A2AC9" w:rsidRPr="007174D6">
        <w:rPr>
          <w:rFonts w:cstheme="minorHAnsi"/>
          <w:sz w:val="20"/>
          <w:szCs w:val="20"/>
        </w:rPr>
        <w:t xml:space="preserve"> </w:t>
      </w:r>
      <w:r w:rsidR="00920573">
        <w:rPr>
          <w:rFonts w:cstheme="minorHAnsi"/>
          <w:sz w:val="20"/>
          <w:szCs w:val="20"/>
        </w:rPr>
        <w:t>7</w:t>
      </w:r>
      <w:r w:rsidR="006A2AC9">
        <w:rPr>
          <w:rFonts w:cstheme="minorHAnsi"/>
          <w:sz w:val="20"/>
          <w:szCs w:val="20"/>
        </w:rPr>
        <w:t xml:space="preserve"> dni</w:t>
      </w:r>
      <w:r w:rsidR="006A2AC9" w:rsidRPr="007174D6">
        <w:rPr>
          <w:rFonts w:cstheme="minorHAnsi"/>
          <w:sz w:val="20"/>
          <w:szCs w:val="20"/>
        </w:rPr>
        <w:t xml:space="preserve"> od dnia zawarcia umowy</w:t>
      </w:r>
      <w:r w:rsidR="006A2AC9">
        <w:rPr>
          <w:rFonts w:cstheme="minorHAnsi"/>
          <w:sz w:val="20"/>
          <w:szCs w:val="20"/>
        </w:rPr>
        <w:t>,</w:t>
      </w:r>
      <w:r w:rsidRPr="007174D6">
        <w:rPr>
          <w:rFonts w:cstheme="minorHAnsi"/>
          <w:sz w:val="20"/>
          <w:szCs w:val="20"/>
        </w:rPr>
        <w:t xml:space="preserve"> instalacji i testowania oprogramowania równoważnego w środowisku sprzętowo-programowym Zamawiającego</w:t>
      </w:r>
      <w:r w:rsidR="006A2AC9">
        <w:rPr>
          <w:rFonts w:cstheme="minorHAnsi"/>
          <w:sz w:val="20"/>
          <w:szCs w:val="20"/>
        </w:rPr>
        <w:t>.</w:t>
      </w:r>
      <w:r w:rsidR="00044C7C">
        <w:rPr>
          <w:rFonts w:cstheme="minorHAnsi"/>
          <w:sz w:val="20"/>
          <w:szCs w:val="20"/>
        </w:rPr>
        <w:t xml:space="preserve"> Testowanie będzie polegało na w</w:t>
      </w:r>
      <w:r w:rsidR="00044C7C" w:rsidRPr="00044C7C">
        <w:rPr>
          <w:rFonts w:cstheme="minorHAnsi"/>
          <w:sz w:val="20"/>
          <w:szCs w:val="20"/>
        </w:rPr>
        <w:t>eryfikacj</w:t>
      </w:r>
      <w:r w:rsidR="00684AFA">
        <w:rPr>
          <w:rFonts w:cstheme="minorHAnsi"/>
          <w:sz w:val="20"/>
          <w:szCs w:val="20"/>
        </w:rPr>
        <w:t>i</w:t>
      </w:r>
      <w:r w:rsidR="00044C7C" w:rsidRPr="00044C7C">
        <w:rPr>
          <w:rFonts w:cstheme="minorHAnsi"/>
          <w:sz w:val="20"/>
          <w:szCs w:val="20"/>
        </w:rPr>
        <w:t xml:space="preserve"> </w:t>
      </w:r>
      <w:r w:rsidR="003612E9">
        <w:rPr>
          <w:rFonts w:cstheme="minorHAnsi"/>
          <w:sz w:val="20"/>
          <w:szCs w:val="20"/>
        </w:rPr>
        <w:t xml:space="preserve">pełnej </w:t>
      </w:r>
      <w:r w:rsidR="00044C7C" w:rsidRPr="00044C7C">
        <w:rPr>
          <w:rFonts w:cstheme="minorHAnsi"/>
          <w:sz w:val="20"/>
          <w:szCs w:val="20"/>
        </w:rPr>
        <w:t>kompatybilności w zakresie</w:t>
      </w:r>
      <w:r w:rsidR="00976076">
        <w:rPr>
          <w:rFonts w:cstheme="minorHAnsi"/>
          <w:sz w:val="20"/>
          <w:szCs w:val="20"/>
        </w:rPr>
        <w:t xml:space="preserve"> wymagań, o których mowa w niniejszym</w:t>
      </w:r>
      <w:r w:rsidR="00976076" w:rsidRPr="00044C7C">
        <w:rPr>
          <w:rFonts w:cstheme="minorHAnsi"/>
          <w:sz w:val="20"/>
          <w:szCs w:val="20"/>
        </w:rPr>
        <w:t xml:space="preserve"> pkt. </w:t>
      </w:r>
      <w:r w:rsidR="00976076">
        <w:rPr>
          <w:rFonts w:cstheme="minorHAnsi"/>
          <w:sz w:val="20"/>
          <w:szCs w:val="20"/>
        </w:rPr>
        <w:t>4</w:t>
      </w:r>
      <w:r w:rsidRPr="007174D6">
        <w:rPr>
          <w:rFonts w:cstheme="minorHAnsi"/>
          <w:sz w:val="20"/>
          <w:szCs w:val="20"/>
        </w:rPr>
        <w:t>;</w:t>
      </w:r>
      <w:r w:rsidR="00E95997">
        <w:rPr>
          <w:rFonts w:cstheme="minorHAnsi"/>
          <w:sz w:val="20"/>
          <w:szCs w:val="20"/>
        </w:rPr>
        <w:t xml:space="preserve"> </w:t>
      </w:r>
    </w:p>
    <w:bookmarkEnd w:id="1"/>
    <w:p w14:paraId="18C9B1DA" w14:textId="1881C77C" w:rsidR="007174D6" w:rsidRPr="007174D6" w:rsidRDefault="007174D6" w:rsidP="0023650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174D6">
        <w:rPr>
          <w:rFonts w:cstheme="minorHAnsi"/>
          <w:sz w:val="20"/>
          <w:szCs w:val="20"/>
        </w:rPr>
        <w:t>Przeprowadzi szkolenie dla użytkowników w zakresie podstaw obsługi oprogramowania (wszystkich narzędzi w zakresie równoważności)</w:t>
      </w:r>
      <w:r w:rsidR="00976076">
        <w:rPr>
          <w:rFonts w:cstheme="minorHAnsi"/>
          <w:sz w:val="20"/>
          <w:szCs w:val="20"/>
        </w:rPr>
        <w:t xml:space="preserve"> w zakresie niezbędnym do prawidłowego korzystania z wszystkich jego funkcjonalności,</w:t>
      </w:r>
      <w:r w:rsidRPr="007174D6">
        <w:rPr>
          <w:rFonts w:cstheme="minorHAnsi"/>
          <w:sz w:val="20"/>
          <w:szCs w:val="20"/>
        </w:rPr>
        <w:t xml:space="preserve"> w </w:t>
      </w:r>
      <w:r w:rsidR="00AD0F6B">
        <w:rPr>
          <w:rFonts w:cstheme="minorHAnsi"/>
          <w:sz w:val="20"/>
          <w:szCs w:val="20"/>
        </w:rPr>
        <w:t>terminie</w:t>
      </w:r>
      <w:r w:rsidRPr="007174D6">
        <w:rPr>
          <w:rFonts w:cstheme="minorHAnsi"/>
          <w:sz w:val="20"/>
          <w:szCs w:val="20"/>
        </w:rPr>
        <w:t xml:space="preserve"> 1 miesiąca od dnia zawarcia umowy. Szkolenia muszą być w formie warsztatów, w siedzibie Zamawiającego w Warszawie,</w:t>
      </w:r>
      <w:r w:rsidR="00AD0F6B">
        <w:rPr>
          <w:rFonts w:cstheme="minorHAnsi"/>
          <w:sz w:val="20"/>
          <w:szCs w:val="20"/>
        </w:rPr>
        <w:t xml:space="preserve"> ul. Kolska 12,</w:t>
      </w:r>
      <w:r w:rsidRPr="007174D6">
        <w:rPr>
          <w:rFonts w:cstheme="minorHAnsi"/>
          <w:sz w:val="20"/>
          <w:szCs w:val="20"/>
        </w:rPr>
        <w:t xml:space="preserve"> 1 dzień </w:t>
      </w:r>
      <w:r w:rsidR="006C2C51">
        <w:rPr>
          <w:rFonts w:cstheme="minorHAnsi"/>
          <w:sz w:val="20"/>
          <w:szCs w:val="20"/>
        </w:rPr>
        <w:t>dla</w:t>
      </w:r>
      <w:r w:rsidRPr="007174D6">
        <w:rPr>
          <w:rFonts w:cstheme="minorHAnsi"/>
          <w:sz w:val="20"/>
          <w:szCs w:val="20"/>
        </w:rPr>
        <w:t xml:space="preserve"> 5 osób.</w:t>
      </w:r>
      <w:r w:rsidR="00920573">
        <w:rPr>
          <w:rFonts w:cstheme="minorHAnsi"/>
          <w:sz w:val="20"/>
          <w:szCs w:val="20"/>
        </w:rPr>
        <w:t xml:space="preserve"> Szkolenie uznaje się za wykonane z chwilą podpisania przez Zamawiającego protokołu zdawczo-odbiorczego realizacji szkolenia.</w:t>
      </w:r>
    </w:p>
    <w:p w14:paraId="60A217B4" w14:textId="2FF9C12E" w:rsidR="007174D6" w:rsidRDefault="007174D6" w:rsidP="0023650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174D6">
        <w:rPr>
          <w:rFonts w:cstheme="minorHAnsi"/>
          <w:sz w:val="20"/>
          <w:szCs w:val="20"/>
        </w:rPr>
        <w:t>Po zawarciu umowy dokona wspólnie z Zamawiającym</w:t>
      </w:r>
      <w:r w:rsidR="006C2C51">
        <w:rPr>
          <w:rFonts w:cstheme="minorHAnsi"/>
          <w:sz w:val="20"/>
          <w:szCs w:val="20"/>
        </w:rPr>
        <w:t xml:space="preserve">, w ramach </w:t>
      </w:r>
      <w:r w:rsidR="00AD0F6B">
        <w:rPr>
          <w:rFonts w:cstheme="minorHAnsi"/>
          <w:sz w:val="20"/>
          <w:szCs w:val="20"/>
        </w:rPr>
        <w:t xml:space="preserve">wynagrodzenia za </w:t>
      </w:r>
      <w:r w:rsidR="006C2C51">
        <w:rPr>
          <w:rFonts w:cstheme="minorHAnsi"/>
          <w:sz w:val="20"/>
          <w:szCs w:val="20"/>
        </w:rPr>
        <w:t>realizacj</w:t>
      </w:r>
      <w:r w:rsidR="00AD0F6B">
        <w:rPr>
          <w:rFonts w:cstheme="minorHAnsi"/>
          <w:sz w:val="20"/>
          <w:szCs w:val="20"/>
        </w:rPr>
        <w:t>ę</w:t>
      </w:r>
      <w:r w:rsidR="006C2C51">
        <w:rPr>
          <w:rFonts w:cstheme="minorHAnsi"/>
          <w:sz w:val="20"/>
          <w:szCs w:val="20"/>
        </w:rPr>
        <w:t xml:space="preserve"> zamówienia,</w:t>
      </w:r>
      <w:r w:rsidRPr="007174D6">
        <w:rPr>
          <w:rFonts w:cstheme="minorHAnsi"/>
          <w:sz w:val="20"/>
          <w:szCs w:val="20"/>
        </w:rPr>
        <w:t xml:space="preserve"> </w:t>
      </w:r>
      <w:r w:rsidR="00060018">
        <w:rPr>
          <w:rFonts w:cstheme="minorHAnsi"/>
          <w:sz w:val="20"/>
          <w:szCs w:val="20"/>
        </w:rPr>
        <w:t xml:space="preserve">pełnej i skutecznej </w:t>
      </w:r>
      <w:r w:rsidR="006C2C51">
        <w:rPr>
          <w:rFonts w:cstheme="minorHAnsi"/>
          <w:sz w:val="20"/>
          <w:szCs w:val="20"/>
        </w:rPr>
        <w:t xml:space="preserve">migracji istniejącego środowiska </w:t>
      </w:r>
      <w:proofErr w:type="spellStart"/>
      <w:r w:rsidR="006C2C51">
        <w:rPr>
          <w:rFonts w:cstheme="minorHAnsi"/>
          <w:sz w:val="20"/>
          <w:szCs w:val="20"/>
        </w:rPr>
        <w:t>wirtualizacjynego</w:t>
      </w:r>
      <w:proofErr w:type="spellEnd"/>
      <w:r w:rsidR="006C2C51">
        <w:rPr>
          <w:rFonts w:cstheme="minorHAnsi"/>
          <w:sz w:val="20"/>
          <w:szCs w:val="20"/>
        </w:rPr>
        <w:t xml:space="preserve"> opartego na </w:t>
      </w:r>
      <w:proofErr w:type="spellStart"/>
      <w:r w:rsidR="006C2C51">
        <w:rPr>
          <w:rFonts w:cstheme="minorHAnsi"/>
          <w:sz w:val="20"/>
          <w:szCs w:val="20"/>
        </w:rPr>
        <w:t>VMWare</w:t>
      </w:r>
      <w:proofErr w:type="spellEnd"/>
      <w:r w:rsidR="006C2C51">
        <w:rPr>
          <w:rFonts w:cstheme="minorHAnsi"/>
          <w:sz w:val="20"/>
          <w:szCs w:val="20"/>
        </w:rPr>
        <w:t>, składającego się z</w:t>
      </w:r>
      <w:r w:rsidR="008C750B">
        <w:rPr>
          <w:rFonts w:cstheme="minorHAnsi"/>
          <w:sz w:val="20"/>
          <w:szCs w:val="20"/>
        </w:rPr>
        <w:t xml:space="preserve"> liczby</w:t>
      </w:r>
      <w:r w:rsidR="006C2C51">
        <w:rPr>
          <w:rFonts w:cstheme="minorHAnsi"/>
          <w:sz w:val="20"/>
          <w:szCs w:val="20"/>
        </w:rPr>
        <w:t xml:space="preserve"> maszyn wirtualnych</w:t>
      </w:r>
      <w:r w:rsidR="008C750B">
        <w:rPr>
          <w:rFonts w:cstheme="minorHAnsi"/>
          <w:sz w:val="20"/>
          <w:szCs w:val="20"/>
        </w:rPr>
        <w:t>, która będzie zawierała się w przedziale: 70-140</w:t>
      </w:r>
      <w:r w:rsidR="00060018">
        <w:rPr>
          <w:rFonts w:cstheme="minorHAnsi"/>
          <w:sz w:val="20"/>
          <w:szCs w:val="20"/>
        </w:rPr>
        <w:t>, w terminie 2 miesięcy od zawarcia Umowy</w:t>
      </w:r>
      <w:r w:rsidR="006C2C51">
        <w:rPr>
          <w:rFonts w:cstheme="minorHAnsi"/>
          <w:sz w:val="20"/>
          <w:szCs w:val="20"/>
        </w:rPr>
        <w:t>.</w:t>
      </w:r>
    </w:p>
    <w:p w14:paraId="68D77FF7" w14:textId="1EFB2ACD" w:rsidR="006C2C51" w:rsidRDefault="006C2C51" w:rsidP="006C2C51">
      <w:pPr>
        <w:spacing w:after="0" w:line="240" w:lineRule="auto"/>
        <w:rPr>
          <w:rFonts w:cstheme="minorHAnsi"/>
          <w:sz w:val="20"/>
          <w:szCs w:val="20"/>
        </w:rPr>
      </w:pPr>
    </w:p>
    <w:p w14:paraId="6C08B0E7" w14:textId="77777777" w:rsidR="00F659B8" w:rsidRDefault="00F659B8" w:rsidP="006C2C51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205"/>
      </w:tblGrid>
      <w:tr w:rsidR="00A049D3" w:rsidRPr="00DD4B4F" w14:paraId="7523CAFB" w14:textId="77777777" w:rsidTr="0023650B">
        <w:trPr>
          <w:trHeight w:val="587"/>
          <w:tblHeader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5FD7A862" w14:textId="77777777" w:rsidR="00A049D3" w:rsidRPr="00DD4B4F" w:rsidRDefault="00A049D3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5E9AD680" w14:textId="6A1DDF17" w:rsidR="00A049D3" w:rsidRPr="00DD4B4F" w:rsidRDefault="00A049D3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Parametry równoważności oprogramowania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wirtualizacyjnego</w:t>
            </w:r>
            <w:proofErr w:type="spellEnd"/>
          </w:p>
        </w:tc>
      </w:tr>
      <w:tr w:rsidR="00A049D3" w:rsidRPr="00DD4B4F" w14:paraId="60AD4579" w14:textId="77777777" w:rsidTr="0023650B">
        <w:trPr>
          <w:trHeight w:val="300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792F0142" w14:textId="77777777" w:rsidR="00A049D3" w:rsidRPr="00DD4B4F" w:rsidRDefault="00A049D3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6D047FF2" w14:textId="77777777" w:rsidR="00A049D3" w:rsidRPr="00DD4B4F" w:rsidRDefault="00A049D3" w:rsidP="0016293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D4B4F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</w:tr>
      <w:tr w:rsidR="00A049D3" w14:paraId="58759D4E" w14:textId="77777777" w:rsidTr="0023650B">
        <w:trPr>
          <w:trHeight w:val="473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F15C9" w14:textId="3F332509" w:rsidR="00A049D3" w:rsidRPr="006C2C51" w:rsidRDefault="00A049D3" w:rsidP="006C2C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2C51">
              <w:rPr>
                <w:rFonts w:ascii="Calibri" w:hAnsi="Calibri" w:cs="Calibri"/>
                <w:b/>
                <w:color w:val="000000"/>
                <w:sz w:val="20"/>
              </w:rPr>
              <w:t>1</w:t>
            </w:r>
          </w:p>
        </w:tc>
        <w:tc>
          <w:tcPr>
            <w:tcW w:w="4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3A8" w14:textId="35B42AFE" w:rsidR="00A049D3" w:rsidRPr="006C2C51" w:rsidRDefault="00A049D3" w:rsidP="007074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C2C51">
              <w:rPr>
                <w:sz w:val="20"/>
              </w:rPr>
              <w:t xml:space="preserve">Licencja producenta na oprogramowanie </w:t>
            </w:r>
            <w:proofErr w:type="spellStart"/>
            <w:r w:rsidRPr="006C2C51">
              <w:rPr>
                <w:sz w:val="20"/>
              </w:rPr>
              <w:t>wirtualizacyjne</w:t>
            </w:r>
            <w:proofErr w:type="spellEnd"/>
            <w:r w:rsidRPr="006C2C51">
              <w:rPr>
                <w:sz w:val="20"/>
              </w:rPr>
              <w:t xml:space="preserve"> dla </w:t>
            </w:r>
            <w:r>
              <w:rPr>
                <w:sz w:val="20"/>
              </w:rPr>
              <w:t>pięciu</w:t>
            </w:r>
            <w:r w:rsidRPr="006C2C51">
              <w:rPr>
                <w:sz w:val="20"/>
              </w:rPr>
              <w:t xml:space="preserve"> serwerów dwuprocesorowych umożliwiająca korzystanie w zakresie wynikającym z Umowy,</w:t>
            </w:r>
            <w:r w:rsidR="007074E2">
              <w:rPr>
                <w:sz w:val="20"/>
              </w:rPr>
              <w:t xml:space="preserve"> w szczególności </w:t>
            </w:r>
            <w:r w:rsidR="007074E2">
              <w:rPr>
                <w:rFonts w:cstheme="minorHAnsi"/>
              </w:rPr>
              <w:t xml:space="preserve">na warunkach nie mniej korzystnych dla Zamawiającego niż wskazana powyżej posiadana przez Zamawiającego licencja </w:t>
            </w:r>
            <w:proofErr w:type="spellStart"/>
            <w:r w:rsidR="007074E2">
              <w:rPr>
                <w:rFonts w:cstheme="minorHAnsi"/>
                <w:sz w:val="20"/>
                <w:szCs w:val="20"/>
              </w:rPr>
              <w:t>vSphere</w:t>
            </w:r>
            <w:proofErr w:type="spellEnd"/>
            <w:r w:rsidR="007074E2">
              <w:rPr>
                <w:rFonts w:cstheme="minorHAnsi"/>
                <w:sz w:val="20"/>
                <w:szCs w:val="20"/>
              </w:rPr>
              <w:t xml:space="preserve"> 6 Essentials Plus</w:t>
            </w:r>
            <w:r w:rsidRPr="006C2C51">
              <w:rPr>
                <w:sz w:val="20"/>
              </w:rPr>
              <w:t>.</w:t>
            </w:r>
            <w:r w:rsidR="00F24616">
              <w:rPr>
                <w:sz w:val="20"/>
              </w:rPr>
              <w:t xml:space="preserve"> Treść </w:t>
            </w:r>
            <w:r w:rsidR="007074E2">
              <w:rPr>
                <w:sz w:val="20"/>
              </w:rPr>
              <w:t xml:space="preserve">takich </w:t>
            </w:r>
            <w:r w:rsidR="00F24616">
              <w:rPr>
                <w:sz w:val="20"/>
              </w:rPr>
              <w:t>warunków licencyjnych nie może</w:t>
            </w:r>
            <w:r w:rsidR="007074E2">
              <w:rPr>
                <w:sz w:val="20"/>
              </w:rPr>
              <w:t xml:space="preserve"> także</w:t>
            </w:r>
            <w:r w:rsidR="00F24616">
              <w:rPr>
                <w:sz w:val="20"/>
              </w:rPr>
              <w:t xml:space="preserve"> wpływać negatywnie na możliwość  </w:t>
            </w:r>
            <w:r w:rsidR="00F24616">
              <w:rPr>
                <w:rFonts w:cstheme="minorHAnsi"/>
                <w:sz w:val="20"/>
                <w:szCs w:val="20"/>
              </w:rPr>
              <w:t xml:space="preserve">zapewnienia spójnych warunków korzystania przez Zamawiającego z całości środowiska </w:t>
            </w:r>
            <w:proofErr w:type="spellStart"/>
            <w:r w:rsidR="00F24616">
              <w:rPr>
                <w:rFonts w:cstheme="minorHAnsi"/>
                <w:sz w:val="20"/>
                <w:szCs w:val="20"/>
              </w:rPr>
              <w:t>wirtualizacyjnego</w:t>
            </w:r>
            <w:proofErr w:type="spellEnd"/>
            <w:r w:rsidR="00F24616">
              <w:rPr>
                <w:rFonts w:cstheme="minorHAnsi"/>
                <w:sz w:val="20"/>
                <w:szCs w:val="20"/>
              </w:rPr>
              <w:t>, o którym mowa powyżej.</w:t>
            </w:r>
          </w:p>
        </w:tc>
      </w:tr>
      <w:tr w:rsidR="00A049D3" w:rsidRPr="00DD4B4F" w14:paraId="107B78FA" w14:textId="77777777" w:rsidTr="0023650B">
        <w:trPr>
          <w:trHeight w:val="23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09B1E" w14:textId="282091C1" w:rsidR="00A049D3" w:rsidRPr="006C2C51" w:rsidRDefault="00A049D3" w:rsidP="006C2C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2C51">
              <w:rPr>
                <w:rFonts w:ascii="Calibri" w:hAnsi="Calibri" w:cs="Calibri"/>
                <w:b/>
                <w:color w:val="000000"/>
                <w:sz w:val="20"/>
              </w:rPr>
              <w:t>2</w:t>
            </w:r>
          </w:p>
        </w:tc>
        <w:tc>
          <w:tcPr>
            <w:tcW w:w="4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2C9D" w14:textId="56BDE16B" w:rsidR="00A049D3" w:rsidRPr="006C2C51" w:rsidRDefault="00A049D3" w:rsidP="006C2C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C2C51">
              <w:rPr>
                <w:sz w:val="20"/>
              </w:rPr>
              <w:t>Warstwa wirtualizacji musi być instalowana bezpośrednio na sprzęcie fizycznym bez potrzeby instalowania dodatkowego systemu operacyjnego.</w:t>
            </w:r>
          </w:p>
        </w:tc>
      </w:tr>
      <w:tr w:rsidR="00A049D3" w:rsidRPr="00DD4B4F" w14:paraId="22E28983" w14:textId="77777777" w:rsidTr="0023650B">
        <w:trPr>
          <w:trHeight w:val="23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E0B71" w14:textId="04845788" w:rsidR="00A049D3" w:rsidRPr="006C2C51" w:rsidRDefault="00A049D3" w:rsidP="006C2C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2C51">
              <w:rPr>
                <w:rFonts w:ascii="Calibri" w:hAnsi="Calibri" w:cs="Calibri"/>
                <w:b/>
                <w:color w:val="000000"/>
                <w:sz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4261" w14:textId="06D05C5D" w:rsidR="00A049D3" w:rsidRPr="006C2C51" w:rsidRDefault="00A049D3" w:rsidP="006C2C51">
            <w:pPr>
              <w:jc w:val="both"/>
              <w:rPr>
                <w:rFonts w:cstheme="minorHAnsi"/>
                <w:sz w:val="20"/>
                <w:szCs w:val="20"/>
              </w:rPr>
            </w:pPr>
            <w:r w:rsidRPr="006C2C51">
              <w:rPr>
                <w:sz w:val="20"/>
              </w:rPr>
              <w:t>Oprogramowanie do wirtualizacji musi zapewnić możliwość obsługi wielu instancji systemów operacyjnych na jednym serwerze fizycznym i musi się charakteryzować maksymalnym możliwym stopniem konsolidacji sprzętowej.</w:t>
            </w:r>
          </w:p>
        </w:tc>
      </w:tr>
      <w:tr w:rsidR="00A049D3" w:rsidRPr="00DD4B4F" w14:paraId="2E8A8B99" w14:textId="77777777" w:rsidTr="0023650B">
        <w:trPr>
          <w:trHeight w:val="23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A839D8" w14:textId="641EBBA5" w:rsidR="00A049D3" w:rsidRPr="006C2C51" w:rsidRDefault="00A049D3" w:rsidP="006C2C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2C51">
              <w:rPr>
                <w:rFonts w:ascii="Calibri" w:hAnsi="Calibri" w:cs="Calibri"/>
                <w:b/>
                <w:color w:val="000000"/>
                <w:sz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7ACA" w14:textId="0A118E79" w:rsidR="00A049D3" w:rsidRPr="006C2C51" w:rsidRDefault="00A049D3" w:rsidP="006C2C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C2C51">
              <w:rPr>
                <w:sz w:val="20"/>
              </w:rPr>
              <w:t>Oprogramowanie do wirtualizacji musi umożliwiać przydzielenie większej ilości pamięci RAM dla maszyn wirtualnych, niż fizyczne zasoby RAM serwera, w celu osiągniecia konsolidacji.</w:t>
            </w:r>
          </w:p>
        </w:tc>
      </w:tr>
      <w:tr w:rsidR="00A049D3" w:rsidRPr="00DD4B4F" w14:paraId="45903CE8" w14:textId="77777777" w:rsidTr="0023650B">
        <w:trPr>
          <w:trHeight w:val="23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B0CF1F" w14:textId="5E937027" w:rsidR="00A049D3" w:rsidRPr="006C2C51" w:rsidRDefault="00A049D3" w:rsidP="006C2C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2C51">
              <w:rPr>
                <w:rFonts w:ascii="Calibri" w:hAnsi="Calibri" w:cs="Calibri"/>
                <w:b/>
                <w:color w:val="000000"/>
                <w:sz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D0E" w14:textId="69E780D2" w:rsidR="00A049D3" w:rsidRPr="006C2C51" w:rsidRDefault="00A049D3" w:rsidP="006C2C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C2C51">
              <w:rPr>
                <w:sz w:val="20"/>
              </w:rPr>
              <w:t>Oprogramowanie do wirtualizacji musi zapewnić możliwość skonfigurowania maszyn wirtualnych z możliwością dostępu do 1TB pamięci operacyjnej.</w:t>
            </w:r>
          </w:p>
        </w:tc>
      </w:tr>
      <w:tr w:rsidR="00A049D3" w:rsidRPr="00DD4B4F" w14:paraId="234C34AF" w14:textId="77777777" w:rsidTr="0023650B">
        <w:trPr>
          <w:trHeight w:val="23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F6B6B" w14:textId="59426AD9" w:rsidR="00A049D3" w:rsidRPr="006C2C51" w:rsidRDefault="00A049D3" w:rsidP="006C2C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2C51">
              <w:rPr>
                <w:rFonts w:ascii="Calibri" w:hAnsi="Calibri" w:cs="Calibri"/>
                <w:b/>
                <w:color w:val="000000"/>
                <w:sz w:val="20"/>
              </w:rPr>
              <w:t>6</w:t>
            </w:r>
          </w:p>
        </w:tc>
        <w:tc>
          <w:tcPr>
            <w:tcW w:w="4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D272" w14:textId="6409E923" w:rsidR="00A049D3" w:rsidRPr="006C2C51" w:rsidRDefault="00A049D3" w:rsidP="001568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C2C51">
              <w:rPr>
                <w:sz w:val="20"/>
              </w:rPr>
              <w:t>Oprogramowanie do wirtualizacji musi być niezależne od producenta platformy sprzętowej.</w:t>
            </w:r>
          </w:p>
        </w:tc>
      </w:tr>
      <w:tr w:rsidR="00A049D3" w:rsidRPr="00DD4B4F" w14:paraId="6B9FBA6D" w14:textId="77777777" w:rsidTr="0023650B">
        <w:trPr>
          <w:trHeight w:val="23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4E241" w14:textId="6B41C98A" w:rsidR="00A049D3" w:rsidRPr="006C2C51" w:rsidRDefault="00A049D3" w:rsidP="006C2C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2C51">
              <w:rPr>
                <w:rFonts w:ascii="Calibri" w:hAnsi="Calibri" w:cs="Calibri"/>
                <w:b/>
                <w:color w:val="000000"/>
                <w:sz w:val="20"/>
              </w:rPr>
              <w:t>7</w:t>
            </w:r>
          </w:p>
        </w:tc>
        <w:tc>
          <w:tcPr>
            <w:tcW w:w="4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A62C" w14:textId="72935131" w:rsidR="00A049D3" w:rsidRPr="006C2C51" w:rsidRDefault="00A049D3" w:rsidP="006C2C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C2C51">
              <w:rPr>
                <w:sz w:val="20"/>
              </w:rPr>
              <w:t>Oprogramowanie do wirtualizacji musi posiadać centralną konsolę graficzną do zarządzania maszynami wirtualnymi, zasobami i warstwą sieciową na wszystkich hostach. Konsola powinna być możliwa do zainstalowania na niezależnej maszynie fizycznej pracującej pod kontrolą systemu operacyjnego BSD, Linux lub Windows.</w:t>
            </w:r>
          </w:p>
        </w:tc>
      </w:tr>
      <w:tr w:rsidR="00A049D3" w:rsidRPr="00DD4B4F" w14:paraId="0B391349" w14:textId="77777777" w:rsidTr="0023650B">
        <w:trPr>
          <w:trHeight w:val="23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E102C" w14:textId="55DDAD91" w:rsidR="00A049D3" w:rsidRPr="006C2C51" w:rsidRDefault="00A049D3" w:rsidP="006C2C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2C51">
              <w:rPr>
                <w:rFonts w:ascii="Calibri" w:hAnsi="Calibri" w:cs="Calibri"/>
                <w:b/>
                <w:color w:val="000000"/>
                <w:sz w:val="20"/>
              </w:rPr>
              <w:t>8</w:t>
            </w:r>
          </w:p>
        </w:tc>
        <w:tc>
          <w:tcPr>
            <w:tcW w:w="4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A3C2" w14:textId="74898ABE" w:rsidR="00A049D3" w:rsidRPr="006C2C51" w:rsidRDefault="00A049D3" w:rsidP="006C2C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C2C51">
              <w:rPr>
                <w:sz w:val="20"/>
              </w:rPr>
              <w:t>Oprogramowanie do wirtualizacji musi zapewnić możliwość monitorowania wykorzystania zasobów fizycznych infrastruktury wirtualnej.</w:t>
            </w:r>
          </w:p>
        </w:tc>
      </w:tr>
      <w:tr w:rsidR="00A049D3" w:rsidRPr="00DD4B4F" w14:paraId="49EB8482" w14:textId="77777777" w:rsidTr="0023650B">
        <w:trPr>
          <w:trHeight w:val="23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5BB1DC" w14:textId="34586606" w:rsidR="00A049D3" w:rsidRPr="006C2C51" w:rsidRDefault="00A049D3" w:rsidP="006C2C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2C51">
              <w:rPr>
                <w:rFonts w:ascii="Calibri" w:hAnsi="Calibri" w:cs="Calibri"/>
                <w:b/>
                <w:color w:val="000000"/>
                <w:sz w:val="20"/>
              </w:rPr>
              <w:t>9</w:t>
            </w:r>
          </w:p>
        </w:tc>
        <w:tc>
          <w:tcPr>
            <w:tcW w:w="4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AA1A" w14:textId="2C41B291" w:rsidR="00A049D3" w:rsidRPr="006C2C51" w:rsidRDefault="00A049D3" w:rsidP="000F6E9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C2C51">
              <w:rPr>
                <w:sz w:val="20"/>
              </w:rPr>
              <w:t>Oprogramowanie do wirtualizacji musi zapewnić możliwość wykonywania kopii zapasowych instancji systemów operacyjnych oraz ich</w:t>
            </w:r>
            <w:r w:rsidR="006E592D">
              <w:rPr>
                <w:sz w:val="20"/>
              </w:rPr>
              <w:t xml:space="preserve"> sprawnego </w:t>
            </w:r>
            <w:r w:rsidRPr="006C2C51">
              <w:rPr>
                <w:sz w:val="20"/>
              </w:rPr>
              <w:t>odtw</w:t>
            </w:r>
            <w:r w:rsidR="006E592D">
              <w:rPr>
                <w:sz w:val="20"/>
              </w:rPr>
              <w:t>a</w:t>
            </w:r>
            <w:r w:rsidRPr="006C2C51">
              <w:rPr>
                <w:sz w:val="20"/>
              </w:rPr>
              <w:t>rz</w:t>
            </w:r>
            <w:r w:rsidR="006E592D">
              <w:rPr>
                <w:sz w:val="20"/>
              </w:rPr>
              <w:t>a</w:t>
            </w:r>
            <w:r w:rsidRPr="006C2C51">
              <w:rPr>
                <w:sz w:val="20"/>
              </w:rPr>
              <w:t>nia.</w:t>
            </w:r>
          </w:p>
        </w:tc>
      </w:tr>
      <w:tr w:rsidR="00A049D3" w:rsidRPr="00DD4B4F" w14:paraId="084C3AF6" w14:textId="77777777" w:rsidTr="0023650B">
        <w:trPr>
          <w:trHeight w:val="23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416729" w14:textId="6F6C2590" w:rsidR="00A049D3" w:rsidRPr="006C2C51" w:rsidRDefault="00A049D3" w:rsidP="006C2C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2C51">
              <w:rPr>
                <w:rFonts w:ascii="Calibri" w:hAnsi="Calibri" w:cs="Calibri"/>
                <w:b/>
                <w:color w:val="000000"/>
                <w:sz w:val="20"/>
              </w:rPr>
              <w:t>10</w:t>
            </w:r>
          </w:p>
        </w:tc>
        <w:tc>
          <w:tcPr>
            <w:tcW w:w="4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3F17" w14:textId="0633C7B1" w:rsidR="00A049D3" w:rsidRPr="006C2C51" w:rsidRDefault="00A049D3" w:rsidP="006C2C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C2C51">
              <w:rPr>
                <w:sz w:val="20"/>
              </w:rPr>
              <w:t>Oprogramowanie do wirtualizacji musi zapewnić możliwość wykonywania kopii migawkowych instancji systemów operacyjnych na potrzeby  tworzenia kopii zapasowych bez przerywania ich pracy.</w:t>
            </w:r>
          </w:p>
        </w:tc>
      </w:tr>
      <w:tr w:rsidR="00A049D3" w:rsidRPr="00DD4B4F" w14:paraId="3B9F362C" w14:textId="77777777" w:rsidTr="0023650B">
        <w:trPr>
          <w:trHeight w:val="23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DC931" w14:textId="22E9EAB1" w:rsidR="00A049D3" w:rsidRPr="006C2C51" w:rsidRDefault="00A049D3" w:rsidP="006C2C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2C51">
              <w:rPr>
                <w:rFonts w:ascii="Calibri" w:hAnsi="Calibri" w:cs="Calibri"/>
                <w:b/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4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BCC9" w14:textId="02741A21" w:rsidR="00A049D3" w:rsidRPr="006C2C51" w:rsidRDefault="00A049D3" w:rsidP="006C2C51">
            <w:pPr>
              <w:jc w:val="both"/>
              <w:rPr>
                <w:rFonts w:cstheme="minorHAnsi"/>
                <w:sz w:val="20"/>
                <w:szCs w:val="20"/>
              </w:rPr>
            </w:pPr>
            <w:r w:rsidRPr="006C2C51">
              <w:rPr>
                <w:sz w:val="20"/>
              </w:rPr>
              <w:t>Oprogramowanie do wirtualizacji musi zapewnić możliwość klonowania systemów operacyjnych wraz z ich pełną konfiguracją i danymi.</w:t>
            </w:r>
          </w:p>
        </w:tc>
      </w:tr>
      <w:tr w:rsidR="00A049D3" w:rsidRPr="00DD4B4F" w14:paraId="04899C4A" w14:textId="77777777" w:rsidTr="0023650B">
        <w:trPr>
          <w:trHeight w:val="23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B25FB" w14:textId="02DD5901" w:rsidR="00A049D3" w:rsidRPr="006C2C51" w:rsidRDefault="00A049D3" w:rsidP="006C2C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2C51">
              <w:rPr>
                <w:rFonts w:ascii="Calibri" w:hAnsi="Calibri" w:cs="Calibri"/>
                <w:b/>
                <w:color w:val="000000"/>
                <w:sz w:val="20"/>
              </w:rPr>
              <w:t>12</w:t>
            </w:r>
          </w:p>
        </w:tc>
        <w:tc>
          <w:tcPr>
            <w:tcW w:w="4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4367" w14:textId="073C05C5" w:rsidR="00A049D3" w:rsidRPr="006C2C51" w:rsidRDefault="00A049D3" w:rsidP="006C2C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C2C51">
              <w:rPr>
                <w:sz w:val="20"/>
              </w:rPr>
              <w:t>Oprogramowanie do wirtualizacji musi umożliwiać udostepnienie maszynie wirtualnej większej ilości zasobów dyskowych aniżeli fizycznie zarezerwowane.</w:t>
            </w:r>
          </w:p>
        </w:tc>
      </w:tr>
      <w:tr w:rsidR="00A049D3" w:rsidRPr="00DD4B4F" w14:paraId="36FCB7AD" w14:textId="77777777" w:rsidTr="0023650B">
        <w:trPr>
          <w:trHeight w:val="23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1E1C06" w14:textId="00AC2088" w:rsidR="00A049D3" w:rsidRPr="006C2C51" w:rsidRDefault="00A049D3" w:rsidP="006C2C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2C51">
              <w:rPr>
                <w:rFonts w:ascii="Calibri" w:hAnsi="Calibri" w:cs="Calibri"/>
                <w:b/>
                <w:color w:val="000000"/>
                <w:sz w:val="20"/>
              </w:rPr>
              <w:t>13</w:t>
            </w:r>
          </w:p>
        </w:tc>
        <w:tc>
          <w:tcPr>
            <w:tcW w:w="4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463F" w14:textId="3B4989D4" w:rsidR="00A049D3" w:rsidRPr="006C2C51" w:rsidRDefault="00A049D3" w:rsidP="006C2C5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C2C51">
              <w:rPr>
                <w:sz w:val="20"/>
              </w:rPr>
              <w:t>Oprogramowanie do wirtualizacji musi umożliwiać udostępnianie pojedynczego urządzenia fizycznego (</w:t>
            </w:r>
            <w:proofErr w:type="spellStart"/>
            <w:r w:rsidRPr="006C2C51">
              <w:rPr>
                <w:sz w:val="20"/>
              </w:rPr>
              <w:t>PCIe</w:t>
            </w:r>
            <w:proofErr w:type="spellEnd"/>
            <w:r w:rsidRPr="006C2C51">
              <w:rPr>
                <w:sz w:val="20"/>
              </w:rPr>
              <w:t>) jako logicznie separowane wirtualne urządzenia dedykowane dla poszczególnych maszyn wirtualnych.</w:t>
            </w:r>
          </w:p>
        </w:tc>
      </w:tr>
      <w:tr w:rsidR="00A049D3" w:rsidRPr="00DD4B4F" w14:paraId="65D145BD" w14:textId="77777777" w:rsidTr="0023650B">
        <w:trPr>
          <w:trHeight w:val="23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6E2D62" w14:textId="6668B87B" w:rsidR="00A049D3" w:rsidRPr="006C2C51" w:rsidRDefault="00A049D3" w:rsidP="006C2C5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C2C51">
              <w:rPr>
                <w:rFonts w:ascii="Calibri" w:hAnsi="Calibri" w:cs="Calibri"/>
                <w:b/>
                <w:color w:val="000000"/>
                <w:sz w:val="20"/>
              </w:rPr>
              <w:t>14</w:t>
            </w:r>
          </w:p>
        </w:tc>
        <w:tc>
          <w:tcPr>
            <w:tcW w:w="4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B03F" w14:textId="3B1B1C43" w:rsidR="00A049D3" w:rsidRPr="006C2C51" w:rsidRDefault="00A049D3" w:rsidP="006C2C51">
            <w:pPr>
              <w:jc w:val="both"/>
              <w:rPr>
                <w:rFonts w:cstheme="minorHAnsi"/>
                <w:sz w:val="20"/>
                <w:szCs w:val="20"/>
              </w:rPr>
            </w:pPr>
            <w:r w:rsidRPr="006C2C51">
              <w:rPr>
                <w:sz w:val="20"/>
              </w:rPr>
              <w:t>Oprogramowanie do wirtualizacji musi zapewniać funkcjonalność HA zapewniającą automatyczną migrację maszyn wirtualnych pomiędzy serwerami bez przerywania pracy użytkowników lub ograniczenia dostępności usługi przy awarii jednego z hostów.</w:t>
            </w:r>
          </w:p>
        </w:tc>
      </w:tr>
    </w:tbl>
    <w:p w14:paraId="0CC3615A" w14:textId="2A292494" w:rsidR="006C2C51" w:rsidRDefault="006C2C51" w:rsidP="006C2C51">
      <w:pPr>
        <w:spacing w:after="0" w:line="240" w:lineRule="auto"/>
        <w:rPr>
          <w:rFonts w:cstheme="minorHAnsi"/>
          <w:sz w:val="20"/>
          <w:szCs w:val="20"/>
        </w:rPr>
      </w:pPr>
    </w:p>
    <w:p w14:paraId="076D0821" w14:textId="641F68FB" w:rsidR="00866C0B" w:rsidRDefault="00866C0B" w:rsidP="006C2C51">
      <w:pPr>
        <w:spacing w:after="0" w:line="240" w:lineRule="auto"/>
        <w:rPr>
          <w:rFonts w:cstheme="minorHAnsi"/>
          <w:sz w:val="20"/>
          <w:szCs w:val="20"/>
        </w:rPr>
      </w:pPr>
    </w:p>
    <w:p w14:paraId="240B592D" w14:textId="6268CDB7" w:rsidR="00866C0B" w:rsidRDefault="00866C0B" w:rsidP="006C2C51">
      <w:pPr>
        <w:spacing w:after="0" w:line="240" w:lineRule="auto"/>
        <w:rPr>
          <w:rFonts w:cstheme="minorHAnsi"/>
          <w:sz w:val="20"/>
          <w:szCs w:val="20"/>
        </w:rPr>
      </w:pPr>
    </w:p>
    <w:p w14:paraId="69A8D26D" w14:textId="0C9D7D7C" w:rsidR="00866C0B" w:rsidRDefault="00866C0B" w:rsidP="006C2C51">
      <w:pPr>
        <w:spacing w:after="0" w:line="240" w:lineRule="auto"/>
        <w:rPr>
          <w:rFonts w:cstheme="minorHAnsi"/>
          <w:sz w:val="20"/>
          <w:szCs w:val="20"/>
        </w:rPr>
      </w:pPr>
    </w:p>
    <w:p w14:paraId="4572C861" w14:textId="388DC334" w:rsidR="00A049D3" w:rsidRPr="00A049D3" w:rsidRDefault="00A049D3" w:rsidP="00D46B0F">
      <w:pPr>
        <w:spacing w:after="0" w:line="259" w:lineRule="auto"/>
        <w:jc w:val="both"/>
        <w:rPr>
          <w:rFonts w:cstheme="minorHAnsi"/>
          <w:b/>
          <w:shd w:val="clear" w:color="auto" w:fill="FFFFFF"/>
        </w:rPr>
      </w:pPr>
      <w:r w:rsidRPr="00A049D3">
        <w:rPr>
          <w:rFonts w:cstheme="minorHAnsi"/>
          <w:b/>
          <w:shd w:val="clear" w:color="auto" w:fill="FFFFFF"/>
        </w:rPr>
        <w:t>Pozostałe zasady realizacji przedmiotu zamówienia zostały określone w Tomie III SIWZ Wzorze umowy.</w:t>
      </w:r>
    </w:p>
    <w:p w14:paraId="296C520D" w14:textId="77777777" w:rsidR="00A049D3" w:rsidRPr="006C2C51" w:rsidRDefault="00A049D3" w:rsidP="006C2C51">
      <w:pPr>
        <w:spacing w:after="0" w:line="240" w:lineRule="auto"/>
        <w:rPr>
          <w:rFonts w:cstheme="minorHAnsi"/>
          <w:sz w:val="20"/>
          <w:szCs w:val="20"/>
        </w:rPr>
      </w:pPr>
    </w:p>
    <w:sectPr w:rsidR="00A049D3" w:rsidRPr="006C2C5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79640" w14:textId="77777777" w:rsidR="00125A04" w:rsidRDefault="00125A04" w:rsidP="00D250FC">
      <w:pPr>
        <w:spacing w:after="0" w:line="240" w:lineRule="auto"/>
      </w:pPr>
      <w:r>
        <w:separator/>
      </w:r>
    </w:p>
  </w:endnote>
  <w:endnote w:type="continuationSeparator" w:id="0">
    <w:p w14:paraId="025A0045" w14:textId="77777777" w:rsidR="00125A04" w:rsidRDefault="00125A04" w:rsidP="00D2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07E6D" w14:textId="77777777" w:rsidR="00125A04" w:rsidRDefault="00125A04" w:rsidP="00D250FC">
      <w:pPr>
        <w:spacing w:after="0" w:line="240" w:lineRule="auto"/>
      </w:pPr>
      <w:r>
        <w:separator/>
      </w:r>
    </w:p>
  </w:footnote>
  <w:footnote w:type="continuationSeparator" w:id="0">
    <w:p w14:paraId="67DAD76C" w14:textId="77777777" w:rsidR="00125A04" w:rsidRDefault="00125A04" w:rsidP="00D2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25C8" w14:textId="42BB6361" w:rsidR="008D5DA0" w:rsidRDefault="008D5DA0">
    <w:pPr>
      <w:pStyle w:val="Nagwek"/>
    </w:pPr>
    <w:r>
      <w:rPr>
        <w:noProof/>
        <w:lang w:eastAsia="pl-PL"/>
      </w:rPr>
      <w:drawing>
        <wp:inline distT="0" distB="0" distL="0" distR="0" wp14:anchorId="404073CF" wp14:editId="03A799E7">
          <wp:extent cx="1634247" cy="525872"/>
          <wp:effectExtent l="0" t="0" r="4445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1679D1" w14:textId="77777777" w:rsidR="008D5DA0" w:rsidRDefault="008D5D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6EA"/>
    <w:multiLevelType w:val="hybridMultilevel"/>
    <w:tmpl w:val="91BEBE64"/>
    <w:lvl w:ilvl="0" w:tplc="9A7AE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74A9"/>
    <w:multiLevelType w:val="hybridMultilevel"/>
    <w:tmpl w:val="72CC8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74222"/>
    <w:multiLevelType w:val="hybridMultilevel"/>
    <w:tmpl w:val="8D7C5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E7AB7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4470"/>
    <w:multiLevelType w:val="hybridMultilevel"/>
    <w:tmpl w:val="9E5CB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04B34"/>
    <w:multiLevelType w:val="hybridMultilevel"/>
    <w:tmpl w:val="C0922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940E5"/>
    <w:multiLevelType w:val="hybridMultilevel"/>
    <w:tmpl w:val="8D7C5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E7AB7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53F1F"/>
    <w:multiLevelType w:val="multilevel"/>
    <w:tmpl w:val="A2C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D64D3D"/>
    <w:multiLevelType w:val="hybridMultilevel"/>
    <w:tmpl w:val="6B18DDC2"/>
    <w:lvl w:ilvl="0" w:tplc="DC58D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80553"/>
    <w:multiLevelType w:val="multilevel"/>
    <w:tmpl w:val="00BA5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4A67B13"/>
    <w:multiLevelType w:val="hybridMultilevel"/>
    <w:tmpl w:val="CB1812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DF3B4D"/>
    <w:multiLevelType w:val="hybridMultilevel"/>
    <w:tmpl w:val="8C42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B0C0B"/>
    <w:multiLevelType w:val="hybridMultilevel"/>
    <w:tmpl w:val="641AB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B2BAC"/>
    <w:multiLevelType w:val="multilevel"/>
    <w:tmpl w:val="00BA5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5982853"/>
    <w:multiLevelType w:val="hybridMultilevel"/>
    <w:tmpl w:val="B3E04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3691D"/>
    <w:multiLevelType w:val="hybridMultilevel"/>
    <w:tmpl w:val="B94C0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B56D3"/>
    <w:multiLevelType w:val="multilevel"/>
    <w:tmpl w:val="267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F409CE"/>
    <w:multiLevelType w:val="multilevel"/>
    <w:tmpl w:val="00BA5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0170A97"/>
    <w:multiLevelType w:val="hybridMultilevel"/>
    <w:tmpl w:val="CEAAD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E4F0D"/>
    <w:multiLevelType w:val="multilevel"/>
    <w:tmpl w:val="F0A6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BA6D93"/>
    <w:multiLevelType w:val="hybridMultilevel"/>
    <w:tmpl w:val="BABEB7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4414D2"/>
    <w:multiLevelType w:val="hybridMultilevel"/>
    <w:tmpl w:val="A0D6B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E7AB7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D41BC"/>
    <w:multiLevelType w:val="multilevel"/>
    <w:tmpl w:val="00BA5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47A2F76"/>
    <w:multiLevelType w:val="hybridMultilevel"/>
    <w:tmpl w:val="A0D6B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E7AB7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077F9"/>
    <w:multiLevelType w:val="multilevel"/>
    <w:tmpl w:val="00BA5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7B5379BE"/>
    <w:multiLevelType w:val="hybridMultilevel"/>
    <w:tmpl w:val="A470C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0"/>
  </w:num>
  <w:num w:numId="5">
    <w:abstractNumId w:val="20"/>
  </w:num>
  <w:num w:numId="6">
    <w:abstractNumId w:val="21"/>
  </w:num>
  <w:num w:numId="7">
    <w:abstractNumId w:val="5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10"/>
  </w:num>
  <w:num w:numId="13">
    <w:abstractNumId w:val="12"/>
  </w:num>
  <w:num w:numId="14">
    <w:abstractNumId w:val="2"/>
  </w:num>
  <w:num w:numId="15">
    <w:abstractNumId w:val="9"/>
  </w:num>
  <w:num w:numId="16">
    <w:abstractNumId w:val="16"/>
  </w:num>
  <w:num w:numId="17">
    <w:abstractNumId w:val="18"/>
  </w:num>
  <w:num w:numId="18">
    <w:abstractNumId w:val="6"/>
  </w:num>
  <w:num w:numId="19">
    <w:abstractNumId w:val="15"/>
  </w:num>
  <w:num w:numId="20">
    <w:abstractNumId w:val="19"/>
  </w:num>
  <w:num w:numId="21">
    <w:abstractNumId w:val="1"/>
  </w:num>
  <w:num w:numId="22">
    <w:abstractNumId w:val="11"/>
  </w:num>
  <w:num w:numId="23">
    <w:abstractNumId w:val="22"/>
  </w:num>
  <w:num w:numId="24">
    <w:abstractNumId w:val="2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7E"/>
    <w:rsid w:val="00013439"/>
    <w:rsid w:val="000143F0"/>
    <w:rsid w:val="00044C7C"/>
    <w:rsid w:val="00060018"/>
    <w:rsid w:val="0006657B"/>
    <w:rsid w:val="000975E3"/>
    <w:rsid w:val="000B4212"/>
    <w:rsid w:val="000D6426"/>
    <w:rsid w:val="000E057E"/>
    <w:rsid w:val="000F6E95"/>
    <w:rsid w:val="0012525A"/>
    <w:rsid w:val="00125A04"/>
    <w:rsid w:val="00136CBE"/>
    <w:rsid w:val="0015154B"/>
    <w:rsid w:val="00156887"/>
    <w:rsid w:val="00162939"/>
    <w:rsid w:val="0018388D"/>
    <w:rsid w:val="001A36B3"/>
    <w:rsid w:val="001E0709"/>
    <w:rsid w:val="002117C3"/>
    <w:rsid w:val="0023650B"/>
    <w:rsid w:val="00262A66"/>
    <w:rsid w:val="002678D3"/>
    <w:rsid w:val="002A1B1B"/>
    <w:rsid w:val="002E0D28"/>
    <w:rsid w:val="002E6DBA"/>
    <w:rsid w:val="002F23BB"/>
    <w:rsid w:val="003152B1"/>
    <w:rsid w:val="00316D22"/>
    <w:rsid w:val="003259D1"/>
    <w:rsid w:val="003342C5"/>
    <w:rsid w:val="00341A8E"/>
    <w:rsid w:val="00343898"/>
    <w:rsid w:val="003612E9"/>
    <w:rsid w:val="00391654"/>
    <w:rsid w:val="0039467C"/>
    <w:rsid w:val="003D308E"/>
    <w:rsid w:val="003F7D9E"/>
    <w:rsid w:val="00407271"/>
    <w:rsid w:val="00412A67"/>
    <w:rsid w:val="004309BB"/>
    <w:rsid w:val="00435AAE"/>
    <w:rsid w:val="00461F55"/>
    <w:rsid w:val="00480C87"/>
    <w:rsid w:val="00481FC3"/>
    <w:rsid w:val="00497CCC"/>
    <w:rsid w:val="004A3D2A"/>
    <w:rsid w:val="004B0063"/>
    <w:rsid w:val="004B0904"/>
    <w:rsid w:val="004F5ACB"/>
    <w:rsid w:val="00503973"/>
    <w:rsid w:val="00524873"/>
    <w:rsid w:val="00531833"/>
    <w:rsid w:val="00535E00"/>
    <w:rsid w:val="00544E69"/>
    <w:rsid w:val="0056140A"/>
    <w:rsid w:val="00562819"/>
    <w:rsid w:val="00577230"/>
    <w:rsid w:val="005C38EB"/>
    <w:rsid w:val="005D10FC"/>
    <w:rsid w:val="005D130E"/>
    <w:rsid w:val="00621C23"/>
    <w:rsid w:val="00623D33"/>
    <w:rsid w:val="00633859"/>
    <w:rsid w:val="00684AFA"/>
    <w:rsid w:val="006A2AC9"/>
    <w:rsid w:val="006C2C51"/>
    <w:rsid w:val="006E0367"/>
    <w:rsid w:val="006E592D"/>
    <w:rsid w:val="006F5DD0"/>
    <w:rsid w:val="007074E2"/>
    <w:rsid w:val="0071416C"/>
    <w:rsid w:val="007174D6"/>
    <w:rsid w:val="00742495"/>
    <w:rsid w:val="00754003"/>
    <w:rsid w:val="00754785"/>
    <w:rsid w:val="00756CED"/>
    <w:rsid w:val="00771E99"/>
    <w:rsid w:val="007937DA"/>
    <w:rsid w:val="007959F8"/>
    <w:rsid w:val="007D4E00"/>
    <w:rsid w:val="007E4055"/>
    <w:rsid w:val="007E6816"/>
    <w:rsid w:val="008612B6"/>
    <w:rsid w:val="008622C0"/>
    <w:rsid w:val="00864078"/>
    <w:rsid w:val="00864C8B"/>
    <w:rsid w:val="00866C0B"/>
    <w:rsid w:val="00874855"/>
    <w:rsid w:val="00877335"/>
    <w:rsid w:val="008819F6"/>
    <w:rsid w:val="008867FC"/>
    <w:rsid w:val="0089013B"/>
    <w:rsid w:val="0089355C"/>
    <w:rsid w:val="008A0745"/>
    <w:rsid w:val="008C750B"/>
    <w:rsid w:val="008D5D1D"/>
    <w:rsid w:val="008D5DA0"/>
    <w:rsid w:val="008D77AB"/>
    <w:rsid w:val="008E415B"/>
    <w:rsid w:val="008F44B1"/>
    <w:rsid w:val="00904B1E"/>
    <w:rsid w:val="00916541"/>
    <w:rsid w:val="009165F4"/>
    <w:rsid w:val="00920573"/>
    <w:rsid w:val="00963A9D"/>
    <w:rsid w:val="00967EC6"/>
    <w:rsid w:val="00976076"/>
    <w:rsid w:val="00981BA9"/>
    <w:rsid w:val="009D4F51"/>
    <w:rsid w:val="009E1FCA"/>
    <w:rsid w:val="009F5800"/>
    <w:rsid w:val="00A049D3"/>
    <w:rsid w:val="00A144E4"/>
    <w:rsid w:val="00A15083"/>
    <w:rsid w:val="00A1525C"/>
    <w:rsid w:val="00A17EE8"/>
    <w:rsid w:val="00A2316D"/>
    <w:rsid w:val="00A36971"/>
    <w:rsid w:val="00A73922"/>
    <w:rsid w:val="00A76618"/>
    <w:rsid w:val="00A970EA"/>
    <w:rsid w:val="00AA6557"/>
    <w:rsid w:val="00AD0F6B"/>
    <w:rsid w:val="00AD721F"/>
    <w:rsid w:val="00AF468D"/>
    <w:rsid w:val="00B00C26"/>
    <w:rsid w:val="00B00DF3"/>
    <w:rsid w:val="00B147FB"/>
    <w:rsid w:val="00B311DF"/>
    <w:rsid w:val="00B549AD"/>
    <w:rsid w:val="00B55692"/>
    <w:rsid w:val="00B62B9E"/>
    <w:rsid w:val="00B77DA7"/>
    <w:rsid w:val="00B85D15"/>
    <w:rsid w:val="00BA09CD"/>
    <w:rsid w:val="00BA0DA8"/>
    <w:rsid w:val="00BC0E60"/>
    <w:rsid w:val="00BC669B"/>
    <w:rsid w:val="00BD00EF"/>
    <w:rsid w:val="00BE08CF"/>
    <w:rsid w:val="00BE1399"/>
    <w:rsid w:val="00C14E51"/>
    <w:rsid w:val="00C16E0A"/>
    <w:rsid w:val="00C20738"/>
    <w:rsid w:val="00C3252C"/>
    <w:rsid w:val="00C5177C"/>
    <w:rsid w:val="00C661A7"/>
    <w:rsid w:val="00C72D2E"/>
    <w:rsid w:val="00CA1261"/>
    <w:rsid w:val="00CA5F0A"/>
    <w:rsid w:val="00CC426D"/>
    <w:rsid w:val="00CC71EF"/>
    <w:rsid w:val="00CE0B1B"/>
    <w:rsid w:val="00CE2EFD"/>
    <w:rsid w:val="00CE38E6"/>
    <w:rsid w:val="00D23479"/>
    <w:rsid w:val="00D250FC"/>
    <w:rsid w:val="00D25FED"/>
    <w:rsid w:val="00D2685D"/>
    <w:rsid w:val="00D30A58"/>
    <w:rsid w:val="00D34FD2"/>
    <w:rsid w:val="00D40EB4"/>
    <w:rsid w:val="00D424A3"/>
    <w:rsid w:val="00D46B0F"/>
    <w:rsid w:val="00D57011"/>
    <w:rsid w:val="00D92DF4"/>
    <w:rsid w:val="00DC552D"/>
    <w:rsid w:val="00DD1B47"/>
    <w:rsid w:val="00E05C8A"/>
    <w:rsid w:val="00E3592A"/>
    <w:rsid w:val="00E47C5F"/>
    <w:rsid w:val="00E611EC"/>
    <w:rsid w:val="00E6633B"/>
    <w:rsid w:val="00E924A2"/>
    <w:rsid w:val="00E95997"/>
    <w:rsid w:val="00EB3401"/>
    <w:rsid w:val="00EC5704"/>
    <w:rsid w:val="00EE6BD9"/>
    <w:rsid w:val="00EE7669"/>
    <w:rsid w:val="00EF3E6F"/>
    <w:rsid w:val="00F24616"/>
    <w:rsid w:val="00F55ED1"/>
    <w:rsid w:val="00F6016A"/>
    <w:rsid w:val="00F659B8"/>
    <w:rsid w:val="00F94B60"/>
    <w:rsid w:val="00F97BA4"/>
    <w:rsid w:val="00FB065D"/>
    <w:rsid w:val="00FB39F5"/>
    <w:rsid w:val="00FB654A"/>
    <w:rsid w:val="00FD2523"/>
    <w:rsid w:val="00FD2530"/>
    <w:rsid w:val="00FD2ADC"/>
    <w:rsid w:val="00FE1C25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3E62A0"/>
  <w15:chartTrackingRefBased/>
  <w15:docId w15:val="{250C15D1-D963-4A9A-87F0-F421B8C2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57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0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05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0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E05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0E057E"/>
    <w:pPr>
      <w:ind w:left="720"/>
      <w:contextualSpacing/>
    </w:pPr>
  </w:style>
  <w:style w:type="table" w:styleId="Tabela-Siatka">
    <w:name w:val="Table Grid"/>
    <w:basedOn w:val="Standardowy"/>
    <w:uiPriority w:val="59"/>
    <w:rsid w:val="000E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E057E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0E057E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0E057E"/>
  </w:style>
  <w:style w:type="character" w:styleId="Hipercze">
    <w:name w:val="Hyperlink"/>
    <w:uiPriority w:val="99"/>
    <w:unhideWhenUsed/>
    <w:rsid w:val="000E057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0E0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E05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57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57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FC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2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0FC"/>
  </w:style>
  <w:style w:type="paragraph" w:styleId="Stopka">
    <w:name w:val="footer"/>
    <w:basedOn w:val="Normalny"/>
    <w:link w:val="StopkaZnak"/>
    <w:uiPriority w:val="99"/>
    <w:unhideWhenUsed/>
    <w:rsid w:val="00D2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0FC"/>
  </w:style>
  <w:style w:type="character" w:styleId="UyteHipercze">
    <w:name w:val="FollowedHyperlink"/>
    <w:basedOn w:val="Domylnaczcionkaakapitu"/>
    <w:uiPriority w:val="99"/>
    <w:semiHidden/>
    <w:unhideWhenUsed/>
    <w:rsid w:val="00BC0E6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AA6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AC62-C0FA-4C2A-9ACB-50DAF54F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2696</Words>
  <Characters>16179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Zieniewska Katarzyna</dc:creator>
  <cp:keywords/>
  <dc:description/>
  <cp:lastModifiedBy>Olędzka-Kowalska Joanna</cp:lastModifiedBy>
  <cp:revision>2</cp:revision>
  <cp:lastPrinted>2019-05-29T08:21:00Z</cp:lastPrinted>
  <dcterms:created xsi:type="dcterms:W3CDTF">2019-07-03T13:24:00Z</dcterms:created>
  <dcterms:modified xsi:type="dcterms:W3CDTF">2019-07-03T13:24:00Z</dcterms:modified>
</cp:coreProperties>
</file>